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「世界時計」ウィジェット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複数の都市の現地時刻をまとめて。ステージでは地球儀の横に、サイドの列では 積み重なった行に、カードでは文字盤か数字の列に。都市・ページ送り・カードの スタイル。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za8jchvk4b0lk0jq2pit7">
        <w:r>
          <w:rPr>
            <w:rStyle w:val="Hyperlink"/>
            <w:color w:val="6E6E73"/>
            <w:sz w:val="18"/>
            <w:szCs w:val="18"/>
          </w:rPr>
          <w:t xml:space="preserve">https://offision.com/help/ja/signage/world-clocks/</w:t>
        </w:r>
      </w:hyperlink>
    </w:p>
    <w:p>
      <w:pPr>
        <w:spacing w:after="160"/>
      </w:pPr>
      <w:r>
        <w:t xml:space="preserve">指定した都市の現地時刻。朝が 3 つの都市で始まる会社のロビーのための
ウィジェットです。各行には画面自身の時刻との差が添えられるので、誰も
暗算をしなくて済みます。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world-clocks-ja" descr="メインステージの世界時計——地球儀の横に並ぶ行。" title="メインステージの世界時計——地球儀の横に並ぶ行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メインステージの世界時計——地球儀の横に並ぶ行。</w:t>
      </w:r>
    </w:p>
    <w:p>
      <w:pPr>
        <w:spacing w:after="160"/>
      </w:pPr>
      <w:r>
        <w:rPr>
          <w:b/>
          <w:bCs/>
        </w:rPr>
        <w:t xml:space="preserve">置ける場所：</w:t>
      </w:r>
      <w:r>
        <w:t xml:space="preserve"> メインステージ・サイドウィジェット・情報カード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254"/>
        <w:gridCol w:w="3281"/>
        <w:gridCol w:w="4825"/>
      </w:tblGrid>
      <w:tr>
        <w:trPr>
          <w:cantSplit/>
          <w:tblHeader/>
        </w:trPr>
        <w:tc>
          <w:tcPr>
            <w:tcW w:type="dxa" w:w="125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328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482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254"/>
          </w:tcPr>
          <w:p>
            <w:pPr>
              <w:spacing w:after="0"/>
            </w:pPr>
            <w:r>
              <w:rPr>
                <w:b/>
                <w:bCs/>
              </w:rPr>
              <w:t xml:space="preserve">都市</w:t>
            </w:r>
          </w:p>
        </w:tc>
        <w:tc>
          <w:tcPr>
            <w:tcW w:type="dxa" w:w="3281"/>
          </w:tcPr>
          <w:p>
            <w:pPr>
              <w:spacing w:after="0"/>
            </w:pPr>
            <w:r>
              <w:t xml:space="preserve">どの都市を、追加した順に映すか</w:t>
            </w:r>
          </w:p>
        </w:tc>
        <w:tc>
          <w:tcPr>
            <w:tcW w:type="dxa" w:w="4825"/>
          </w:tcPr>
          <w:p>
            <w:pPr>
              <w:spacing w:after="0"/>
            </w:pPr>
            <w:r>
              <w:t xml:space="preserve">実際に電話をかける拠点を先頭に</w:t>
            </w:r>
          </w:p>
        </w:tc>
      </w:tr>
      <w:tr>
        <w:trPr>
          <w:cantSplit/>
        </w:trPr>
        <w:tc>
          <w:tcPr>
            <w:tcW w:type="dxa" w:w="1254"/>
          </w:tcPr>
          <w:p>
            <w:pPr>
              <w:spacing w:after="0"/>
            </w:pPr>
            <w:r>
              <w:rPr>
                <w:b/>
                <w:bCs/>
              </w:rPr>
              <w:t xml:space="preserve">都市ごとの表示秒数</w:t>
            </w:r>
          </w:p>
        </w:tc>
        <w:tc>
          <w:tcPr>
            <w:tcW w:type="dxa" w:w="3281"/>
          </w:tcPr>
          <w:p>
            <w:pPr>
              <w:spacing w:after="0"/>
            </w:pPr>
            <w:r>
              <w:t xml:space="preserve">都市のページが次へ進むまでの長さ</w:t>
            </w:r>
          </w:p>
        </w:tc>
        <w:tc>
          <w:tcPr>
            <w:tcW w:type="dxa" w:w="4825"/>
          </w:tcPr>
          <w:p>
            <w:pPr>
              <w:spacing w:after="0"/>
            </w:pPr>
            <w:r>
              <w:t xml:space="preserve">一度に収まらない数の都市があるとき——後ろのページにも読む時間を</w:t>
            </w:r>
          </w:p>
        </w:tc>
      </w:tr>
      <w:tr>
        <w:trPr>
          <w:cantSplit/>
        </w:trPr>
        <w:tc>
          <w:tcPr>
            <w:tcW w:type="dxa" w:w="1254"/>
          </w:tcPr>
          <w:p>
            <w:pPr>
              <w:spacing w:after="0"/>
            </w:pPr>
            <w:r>
              <w:rPr>
                <w:b/>
                <w:bCs/>
              </w:rPr>
              <w:t xml:space="preserve">カードのスタイル</w:t>
            </w:r>
          </w:p>
        </w:tc>
        <w:tc>
          <w:tcPr>
            <w:tcW w:type="dxa" w:w="3281"/>
          </w:tcPr>
          <w:p>
            <w:pPr>
              <w:spacing w:after="0"/>
            </w:pPr>
            <w:r>
              <w:t xml:space="preserve">16:9 カードでの描き方：</w:t>
            </w:r>
            <w:r>
              <w:rPr>
                <w:b/>
                <w:bCs/>
              </w:rPr>
              <w:t xml:space="preserve">昼夜文字盤</w:t>
            </w:r>
            <w:r>
              <w:t xml:space="preserve">か</w:t>
            </w:r>
            <w:r>
              <w:rPr>
                <w:b/>
                <w:bCs/>
              </w:rPr>
              <w:t xml:space="preserve">デジタル時刻</w:t>
            </w:r>
          </w:p>
        </w:tc>
        <w:tc>
          <w:tcPr>
            <w:tcW w:type="dxa" w:w="4825"/>
          </w:tcPr>
          <w:p>
            <w:pPr>
              <w:spacing w:after="0"/>
            </w:pPr>
            <w:r>
              <w:t xml:space="preserve">文字盤はひと目で昼か夜か、デジタル時刻は正確な時刻を読むため。効くのは情報カードに置いたときだけです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このウィジェットは置き場所ごとに描き直されます。ステージでは地球儀の横の行、
サイドの列ではコンパクトに積み重なった行、情報カードでは上のカードのスタイルです。</w:t>
      </w:r>
    </w:p>
    <w:p>
      <w:pPr>
        <w:pStyle w:val="Heading2"/>
      </w:pPr>
      <w:r>
        <w:t xml:space="preserve">このウィジェットが決めないこと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画面自身の時計。</w:t>
      </w:r>
      <w:r>
        <w:t xml:space="preserve"> 地球儀なしで 1 か所の時刻を映すのは</w:t>
      </w:r>
      <w:hyperlink w:history="1" r:id="rIdeyh2erugg4yrijiucgzy9">
        <w:r>
          <w:rPr>
            <w:rStyle w:val="Hyperlink"/>
          </w:rPr>
          <w:t xml:space="preserve">時計</w:t>
        </w:r>
      </w:hyperlink>
      <w:r>
        <w:t xml:space="preserve">
ウィジェットです。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大きさと色。</w:t>
      </w:r>
      <w:r>
        <w:t xml:space="preserve"> デザイン全体の文字サイズ・外観・ウィジェットの背景は、
ほかと同じようにここにも効きます——
</w:t>
      </w:r>
      <w:hyperlink w:history="1" r:id="rId8zemlj3-t6fp_ht7gjn2o">
        <w:r>
          <w:rPr>
            <w:rStyle w:val="Hyperlink"/>
          </w:rPr>
          <w:t xml:space="preserve">ウィジェットとその置き場所</w:t>
        </w:r>
      </w:hyperlink>
      <w:r>
        <w:t xml:space="preserve">を参照してください。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za8jchvk4b0lk0jq2pit7" Type="http://schemas.openxmlformats.org/officeDocument/2006/relationships/hyperlink" Target="https://offision.com/help/ja/signage/world-clocks/" TargetMode="External"/><Relationship Id="rIdeyh2erugg4yrijiucgzy9" Type="http://schemas.openxmlformats.org/officeDocument/2006/relationships/hyperlink" Target="../clock/" TargetMode="External"/><Relationship Id="rId8zemlj3-t6fp_ht7gjn2o" Type="http://schemas.openxmlformats.org/officeDocument/2006/relationships/hyperlink" Target="../widgets-and-places/" TargetMode="External"/><Relationship Id="rId7" Type="http://schemas.openxmlformats.org/officeDocument/2006/relationships/image" Target="media/9bd02e1c6661a3ff00c98439cd2102166f209d23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「世界時計」ウィジェット</dc:title>
  <dc:creator>Offision</dc:creator>
  <cp:lastModifiedBy>Un-named</cp:lastModifiedBy>
  <cp:revision>1</cp:revision>
  <dcterms:created xsi:type="dcterms:W3CDTF">2026-09-13T09:05:46.857Z</dcterms:created>
  <dcterms:modified xsi:type="dcterms:W3CDTF">2026-09-13T09:05:46.857Z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