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Connect your own systems: API, authentication and automation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How your own software reaches Offision — an API credential with scopes, the REST reference and OpenAPI document, the system URLs to redirect into, and the Workflow module for automation — and what Offision does not offer, such as outbound webhooks.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vp1qisu_c0n7t5pfnpm8q">
        <w:r>
          <w:rPr>
            <w:rStyle w:val="Hyperlink"/>
            <w:color w:val="6E6E73"/>
            <w:sz w:val="18"/>
            <w:szCs w:val="18"/>
          </w:rPr>
          <w:t xml:space="preserve">https://offision.com/help/en/integrations/connect-your-own-systems/</w:t>
        </w:r>
      </w:hyperlink>
    </w:p>
    <w:p>
      <w:pPr>
        <w:spacing w:after="160"/>
      </w:pPr>
      <w:r>
        <w:t xml:space="preserve">Everything your own software can do with Offision starts on one page:
</w:t>
      </w:r>
      <w:r>
        <w:rPr>
          <w:b/>
          <w:bCs/>
        </w:rPr>
        <w:t xml:space="preserve">API authentication</w:t>
      </w:r>
      <w:r>
        <w:t xml:space="preserve">, under </w:t>
      </w:r>
      <w:r>
        <w:rPr>
          <w:b/>
          <w:bCs/>
        </w:rPr>
        <w:t xml:space="preserve">Marketplace</w:t>
      </w:r>
      <w:r>
        <w:t xml:space="preserve">. Each row there is one integration
client — one credential your system presents, scoped to what it may touch. There
is no shared master key: the HR sync and the signage feed each get their own.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marketplace/external-authentication-setting (API authentication)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19275"/>
            <wp:effectExtent t="0" r="0" b="0" l="0"/>
            <wp:docPr id="1" name="api-authentication-list" descr="API authentication, one row per integration client." title="API authentication, one row per integration cli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API authentication, one row per integration client.</w:t>
      </w:r>
    </w:p>
    <w:p>
      <w:pPr>
        <w:pStyle w:val="Heading2"/>
      </w:pPr>
      <w:r>
        <w:t xml:space="preserve">A credential and its scopes</w:t>
      </w:r>
    </w:p>
    <w:p>
      <w:pPr>
        <w:spacing w:after="160"/>
      </w:pPr>
      <w:r>
        <w:t xml:space="preserve">A client is created as one of two types, chosen once and fixed afterwards. An
</w:t>
      </w:r>
      <w:r>
        <w:rPr>
          <w:b/>
          <w:bCs/>
        </w:rPr>
        <w:t xml:space="preserve">OAuth2 client</w:t>
      </w:r>
      <w:r>
        <w:t xml:space="preserve"> gets a </w:t>
      </w:r>
      <w:r>
        <w:rPr>
          <w:b/>
          <w:bCs/>
        </w:rPr>
        <w:t xml:space="preserve">Client ID</w:t>
      </w:r>
      <w:r>
        <w:t xml:space="preserve"> and a </w:t>
      </w:r>
      <w:r>
        <w:rPr>
          <w:b/>
          <w:bCs/>
        </w:rPr>
        <w:t xml:space="preserve">Client secret</w:t>
      </w:r>
      <w:r>
        <w:t xml:space="preserve">; the secret is
exchanged at the token endpoint, using the client-credentials grant, for a
bearer token that lasts a day. An </w:t>
      </w:r>
      <w:r>
        <w:rPr>
          <w:b/>
          <w:bCs/>
        </w:rPr>
        <w:t xml:space="preserve">Access token</w:t>
      </w:r>
      <w:r>
        <w:t xml:space="preserve"> is a long-lived opaque token
sent as-is — simpler, and right for a script running from one trusted place.</w:t>
      </w:r>
    </w:p>
    <w:p>
      <w:pPr>
        <w:spacing w:after="160"/>
      </w:pPr>
      <w:r>
        <w:t xml:space="preserve">What the credential may do is its </w:t>
      </w:r>
      <w:r>
        <w:rPr>
          <w:b/>
          <w:bCs/>
        </w:rPr>
        <w:t xml:space="preserve">API scopes</w:t>
      </w:r>
      <w:r>
        <w:t xml:space="preserve">: one row per module — Bookings,
Bookable resources, Users, Visitors, Sensors, Buildings and so on, or
</w:t>
      </w:r>
      <w:r>
        <w:rPr>
          <w:b/>
          <w:bCs/>
        </w:rPr>
        <w:t xml:space="preserve">All modules</w:t>
      </w:r>
      <w:r>
        <w:t xml:space="preserve"> — each marked </w:t>
      </w:r>
      <w:r>
        <w:rPr>
          <w:b/>
          <w:bCs/>
        </w:rPr>
        <w:t xml:space="preserve">Read only</w:t>
      </w:r>
      <w:r>
        <w:t xml:space="preserve"> or </w:t>
      </w:r>
      <w:r>
        <w:rPr>
          <w:b/>
          <w:bCs/>
        </w:rPr>
        <w:t xml:space="preserve">Read &amp; write</w:t>
      </w:r>
      <w:r>
        <w:t xml:space="preserve">. A token can ask
for less than its client was granted, never more. Three further guards sit on
the same form: an </w:t>
      </w:r>
      <w:r>
        <w:rPr>
          <w:b/>
          <w:bCs/>
        </w:rPr>
        <w:t xml:space="preserve">IP restriction</w:t>
      </w:r>
      <w:r>
        <w:t xml:space="preserve">, a </w:t>
      </w:r>
      <w:r>
        <w:rPr>
          <w:b/>
          <w:bCs/>
        </w:rPr>
        <w:t xml:space="preserve">CORS setting</w:t>
      </w:r>
      <w:r>
        <w:t xml:space="preserve"> for browser callers,
and an </w:t>
      </w:r>
      <w:r>
        <w:rPr>
          <w:b/>
          <w:bCs/>
        </w:rPr>
        <w:t xml:space="preserve">Expire date</w:t>
      </w:r>
      <w:r>
        <w:t xml:space="preserve">.</w:t>
      </w:r>
    </w:p>
    <w:p>
      <w:pPr>
        <w:spacing w:after="160"/>
      </w:pPr>
      <w:r>
        <w:t xml:space="preserve">Revocation is immediate. Deleting a client, narrowing its scopes or regenerating
its secret stops every call using it at once, before any issued token expires.</w:t>
      </w:r>
    </w:p>
    <w:p>
      <w:pPr>
        <w:pStyle w:val="Heading2"/>
      </w:pPr>
      <w:r>
        <w:t xml:space="preserve">What the API covers</w:t>
      </w:r>
    </w:p>
    <w:p>
      <w:pPr>
        <w:spacing w:after="160"/>
      </w:pPr>
      <w:r>
        <w:t xml:space="preserve">The REST API reaches the same things the admin console does: bookings and
bookable resources, including their panel content and access keys; users and
user groups; buildings; visiting appointments and visitor management; service
items; lockers; e-paper controllers; environment, occupancy and IoT-space
sensors, plus a Milesight gateway; analytics and dashboard figures; emergency
state; and the workflow webhook described below. There is no generic "devices"
area — device access is per kind.</w:t>
      </w:r>
    </w:p>
    <w:p>
      <w:pPr>
        <w:spacing w:after="160"/>
      </w:pPr>
      <w:r>
        <w:t xml:space="preserve">The full reference is the </w:t>
      </w:r>
      <w:hyperlink w:history="1" r:id="rId8fjas_yqbtbmkvkxvjcf9">
        <w:r>
          <w:rPr>
            <w:rStyle w:val="Hyperlink"/>
          </w:rPr>
          <w:t xml:space="preserve">External API</w:t>
        </w:r>
      </w:hyperlink>
      <w:r>
        <w:t xml:space="preserve"> page of this site,
with every endpoint, its request and response shapes, and an </w:t>
      </w:r>
      <w:r>
        <w:rPr>
          <w:b/>
          <w:bCs/>
        </w:rPr>
        <w:t xml:space="preserve">OpenAPI document</w:t>
      </w:r>
      <w:r>
        <w:t xml:space="preserve">
to download into your own tooling.</w:t>
      </w:r>
    </w:p>
    <w:p>
      <w:pPr>
        <w:pStyle w:val="Heading2"/>
      </w:pPr>
      <w:r>
        <w:t xml:space="preserve">The URLs your systems redirect into</w:t>
      </w:r>
    </w:p>
    <w:p>
      <w:pPr>
        <w:spacing w:after="160"/>
      </w:pPr>
      <w:r>
        <w:rPr>
          <w:b/>
          <w:bCs/>
        </w:rPr>
        <w:t xml:space="preserve">System URLs</w:t>
      </w:r>
      <w:r>
        <w:t xml:space="preserve">, also under </w:t>
      </w:r>
      <w:r>
        <w:rPr>
          <w:b/>
          <w:bCs/>
        </w:rPr>
        <w:t xml:space="preserve">Marketplace</w:t>
      </w:r>
      <w:r>
        <w:t xml:space="preserve">, lists the five addresses another
system needs to send people to Offision: </w:t>
      </w:r>
      <w:r>
        <w:rPr>
          <w:b/>
          <w:bCs/>
        </w:rPr>
        <w:t xml:space="preserve">User portal URL</w:t>
      </w:r>
      <w:r>
        <w:t xml:space="preserve">, </w:t>
      </w:r>
      <w:r>
        <w:rPr>
          <w:b/>
          <w:bCs/>
        </w:rPr>
        <w:t xml:space="preserve">Admin Console
URL</w:t>
      </w:r>
      <w:r>
        <w:t xml:space="preserve">, </w:t>
      </w:r>
      <w:r>
        <w:rPr>
          <w:b/>
          <w:bCs/>
        </w:rPr>
        <w:t xml:space="preserve">Visitor App URL</w:t>
      </w:r>
      <w:r>
        <w:t xml:space="preserve">, </w:t>
      </w:r>
      <w:r>
        <w:rPr>
          <w:b/>
          <w:bCs/>
        </w:rPr>
        <w:t xml:space="preserve">Login Page URL</w:t>
      </w:r>
      <w:r>
        <w:t xml:space="preserve"> and an </w:t>
      </w:r>
      <w:r>
        <w:rPr>
          <w:b/>
          <w:bCs/>
        </w:rPr>
        <w:t xml:space="preserve">Auto Login Page
Reference</w:t>
      </w:r>
      <w:r>
        <w:t xml:space="preserve"> — a pattern where you replace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{userEmailAddress}</w:t>
      </w:r>
      <w:r>
        <w:t xml:space="preserve"> with the user's
address to land them signed in. Below them, each integration client that offers
one has its own auto-login URL.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086350"/>
            <wp:effectExtent t="0" r="0" b="0" l="0"/>
            <wp:docPr id="1" name="system-urls" descr="System URLs, with the addresses another system sends people to." title="System URLs, with the addresses another system sends people 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System URLs, with the addresses another system sends people to.</w:t>
      </w:r>
    </w:p>
    <w:p>
      <w:pPr>
        <w:pStyle w:val="Heading2"/>
      </w:pPr>
      <w:r>
        <w:t xml:space="preserve">Automation: the Workflow module</w:t>
      </w:r>
    </w:p>
    <w:p>
      <w:pPr>
        <w:spacing w:after="160"/>
      </w:pPr>
      <w:r>
        <w:t xml:space="preserve">Where a plain API call is not enough, </w:t>
      </w:r>
      <w:r>
        <w:rPr>
          <w:b/>
          <w:bCs/>
        </w:rPr>
        <w:t xml:space="preserve">Workflow</w:t>
      </w:r>
      <w:r>
        <w:t xml:space="preserve"> — a preview module — lets you
build the logic inside Offision. A workflow is a canvas: exactly one trigger
starts it — </w:t>
      </w:r>
      <w:r>
        <w:rPr>
          <w:b/>
          <w:bCs/>
        </w:rPr>
        <w:t xml:space="preserve">Domain event</w:t>
      </w:r>
      <w:r>
        <w:t xml:space="preserve">, </w:t>
      </w:r>
      <w:r>
        <w:rPr>
          <w:b/>
          <w:bCs/>
        </w:rPr>
        <w:t xml:space="preserve">Schedule</w:t>
      </w:r>
      <w:r>
        <w:t xml:space="preserve">, </w:t>
      </w:r>
      <w:r>
        <w:rPr>
          <w:b/>
          <w:bCs/>
        </w:rPr>
        <w:t xml:space="preserve">Webhook</w:t>
      </w:r>
      <w:r>
        <w:t xml:space="preserve">, </w:t>
      </w:r>
      <w:r>
        <w:rPr>
          <w:b/>
          <w:bCs/>
        </w:rPr>
        <w:t xml:space="preserve">MQTT message</w:t>
      </w:r>
      <w:r>
        <w:t xml:space="preserve">,
</w:t>
      </w:r>
      <w:r>
        <w:rPr>
          <w:b/>
          <w:bCs/>
        </w:rPr>
        <w:t xml:space="preserve">Manual trigger</w:t>
      </w:r>
      <w:r>
        <w:t xml:space="preserve"> or </w:t>
      </w:r>
      <w:r>
        <w:rPr>
          <w:b/>
          <w:bCs/>
        </w:rPr>
        <w:t xml:space="preserve">Workflow call</w:t>
      </w:r>
      <w:r>
        <w:t xml:space="preserve"> — and action nodes do the work:
</w:t>
      </w:r>
      <w:r>
        <w:rPr>
          <w:b/>
          <w:bCs/>
        </w:rPr>
        <w:t xml:space="preserve">HTTP request</w:t>
      </w:r>
      <w:r>
        <w:t xml:space="preserve"> to any URL, </w:t>
      </w:r>
      <w:r>
        <w:rPr>
          <w:b/>
          <w:bCs/>
        </w:rPr>
        <w:t xml:space="preserve">Send notification</w:t>
      </w:r>
      <w:r>
        <w:t xml:space="preserve">, </w:t>
      </w:r>
      <w:r>
        <w:rPr>
          <w:b/>
          <w:bCs/>
        </w:rPr>
        <w:t xml:space="preserve">Send email</w:t>
      </w:r>
      <w:r>
        <w:t xml:space="preserve">,
</w:t>
      </w:r>
      <w:r>
        <w:rPr>
          <w:b/>
          <w:bCs/>
        </w:rPr>
        <w:t xml:space="preserve">Send SMS</w:t>
      </w:r>
      <w:r>
        <w:t xml:space="preserve">, </w:t>
      </w:r>
      <w:r>
        <w:rPr>
          <w:b/>
          <w:bCs/>
        </w:rPr>
        <w:t xml:space="preserve">Control hardware</w:t>
      </w:r>
      <w:r>
        <w:t xml:space="preserve">, </w:t>
      </w:r>
      <w:r>
        <w:rPr>
          <w:b/>
          <w:bCs/>
        </w:rPr>
        <w:t xml:space="preserve">Update visitor badge</w:t>
      </w:r>
      <w:r>
        <w:t xml:space="preserve"> and more.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workflow/list (Workflow list)</w:t>
      </w:r>
    </w:p>
    <w:p>
      <w:pPr>
        <w:spacing w:after="160"/>
      </w:pPr>
      <w:r>
        <w:t xml:space="preserve">Two pieces matter for integration. </w:t>
      </w:r>
      <w:r>
        <w:rPr>
          <w:b/>
          <w:bCs/>
        </w:rPr>
        <w:t xml:space="preserve">Endpoint configs</w:t>
      </w:r>
      <w:r>
        <w:t xml:space="preserve"> store an address and its
credentials once — HTTP, HTTPS, MQTT or gRPC — so every workflow reuses them.
And the </w:t>
      </w:r>
      <w:r>
        <w:rPr>
          <w:b/>
          <w:bCs/>
        </w:rPr>
        <w:t xml:space="preserve">Webhook</w:t>
      </w:r>
      <w:r>
        <w:t xml:space="preserve"> trigger gives a workflow its own inbound </w:t>
      </w:r>
      <w:r>
        <w:rPr>
          <w:b/>
          <w:bCs/>
        </w:rPr>
        <w:t xml:space="preserve">Webhook URL</w:t>
      </w:r>
      <w:r>
        <w:t xml:space="preserve">:
your system posts to it and the workflow runs. The trigger's own note says
"Requires Offision external API authentication header:" — so the caller needs a
credential from the page above, and you choose whether the call returns at once
or waits for the workflow to finish.</w:t>
      </w:r>
    </w:p>
    <w:p>
      <w:pPr>
        <w:pStyle w:val="Heading2"/>
      </w:pPr>
      <w:r>
        <w:t xml:space="preserve">What this does not do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No outbound webhook subscriptions.</w:t>
      </w:r>
      <w:r>
        <w:t xml:space="preserve"> Offision does not push "a booking was
created" to a URL you register. To call out, build a workflow on a
</w:t>
      </w:r>
      <w:r>
        <w:rPr>
          <w:b/>
          <w:bCs/>
        </w:rPr>
        <w:t xml:space="preserve">Domain event</w:t>
      </w:r>
      <w:r>
        <w:t xml:space="preserve"> trigger with an </w:t>
      </w:r>
      <w:r>
        <w:rPr>
          <w:b/>
          <w:bCs/>
        </w:rPr>
        <w:t xml:space="preserve">HTTP request</w:t>
      </w:r>
      <w:r>
        <w:t xml:space="preserve"> action.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No Zapier or Power Automate connector.</w:t>
      </w:r>
      <w:r>
        <w:t xml:space="preserve"> Those tools can call the REST API
or post to a Webhook trigger, but there is no ready-made app to install.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old OAuth Application page is not this.</w:t>
      </w:r>
      <w:r>
        <w:t xml:space="preserve"> It makes Offision the sign-in
provider for its own login page and visitor WiFi portals — now reached from
</w:t>
      </w:r>
      <w:r>
        <w:rPr>
          <w:b/>
          <w:bCs/>
        </w:rPr>
        <w:t xml:space="preserve">Visiting › Visitor WiFi</w:t>
      </w:r>
      <w:r>
        <w:t xml:space="preserve"> — and does not sign your users into other systems.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p1qisu_c0n7t5pfnpm8q" Type="http://schemas.openxmlformats.org/officeDocument/2006/relationships/hyperlink" Target="https://offision.com/help/en/integrations/connect-your-own-systems/" TargetMode="External"/><Relationship Id="rId8fjas_yqbtbmkvkxvjcf9" Type="http://schemas.openxmlformats.org/officeDocument/2006/relationships/hyperlink" Target="/en/external-api/" TargetMode="External"/><Relationship Id="rId7" Type="http://schemas.openxmlformats.org/officeDocument/2006/relationships/image" Target="media/2c04b3df5173f4f68e357c14976b4e723f5dc3d1.png"/><Relationship Id="rId8" Type="http://schemas.openxmlformats.org/officeDocument/2006/relationships/image" Target="media/47efec26fe16c1968f053905c2a888c9b1837fee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 your own systems: API, authentication and automation</dc:title>
  <dc:creator>Offision</dc:creator>
  <cp:lastModifiedBy>Un-named</cp:lastModifiedBy>
  <cp:revision>1</cp:revision>
  <dcterms:created xsi:type="dcterms:W3CDTF">2026-09-08T10:18:58.354Z</dcterms:created>
  <dcterms:modified xsi:type="dcterms:W3CDTF">2026-09-08T10:18:58.354Z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