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Connect Cisco Webex Control Hub</w:t>
      </w:r>
    </w:p>
    <w:p>
      <w:pPr>
        <w:spacing w:after="120"/>
      </w:pPr>
      <w:r>
        <w:rPr>
          <w:color w:val="6E6E73"/>
          <w:sz w:val="24"/>
          <w:szCs w:val="24"/>
        </w:rPr>
        <w:t xml:space="preserve">Authorize your Webex organization so Offision can mirror its workspaces and devices and read their sensors. What to create in Webex first, which consent step needs an org admin, and the three things that usually go wrong.</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9u72oeboup_ljjnzdeiho">
        <w:r>
          <w:rPr>
            <w:rStyle w:val="Hyperlink"/>
            <w:color w:val="6E6E73"/>
            <w:sz w:val="18"/>
            <w:szCs w:val="18"/>
          </w:rPr>
          <w:t xml:space="preserve">https://offision.com/help/en/integrations/connect-webex-control-hub/</w:t>
        </w:r>
      </w:hyperlink>
    </w:p>
    <w:p>
      <w:pPr>
        <w:spacing w:after="160"/>
      </w:pPr>
      <w:r>
        <w:t xml:space="preserve">Connecting Control Hub is an authorization, not an API key: you send an admin to
Webex to approve the access, and Webex hands Offision a token back.</w:t>
      </w:r>
    </w:p>
    <w:p>
      <w:pPr>
        <w:spacing w:after="160"/>
      </w:pPr>
      <w:r>
        <w:rPr>
          <w:b/>
          <w:bCs/>
        </w:rPr>
        <w:t xml:space="preserve">Before you start:</w:t>
      </w:r>
      <w:r>
        <w:t xml:space="preserve">
Two roles, and they are rarely the same person. You need an account in Offision
that can manage the marketplace, and a </w:t>
      </w:r>
      <w:r>
        <w:rPr>
          <w:b/>
          <w:bCs/>
        </w:rPr>
        <w:t xml:space="preserve">Webex organization administrator</w:t>
      </w:r>
      <w:r>
        <w:t xml:space="preserve"> to
approve the access — the permissions Offision asks for are admin-only, so a
normal Webex account cannot finish this.</w:t>
      </w:r>
    </w:p>
    <w:p>
      <w:pPr>
        <w:pStyle w:val="Heading2"/>
      </w:pPr>
      <w:r>
        <w:t xml:space="preserve">What to have ready</w:t>
      </w:r>
    </w:p>
    <w:p>
      <w:pPr>
        <w:pStyle w:val="ListParagraph"/>
        <w:numPr>
          <w:ilvl w:val="0"/>
          <w:numId w:val="1"/>
        </w:numPr>
        <w:spacing w:after="80"/>
      </w:pPr>
      <w:r>
        <w:t xml:space="preserve">A </w:t>
      </w:r>
      <w:r>
        <w:rPr>
          <w:b/>
          <w:bCs/>
        </w:rPr>
        <w:t xml:space="preserve">Webex integration</w:t>
      </w:r>
      <w:r>
        <w:t xml:space="preserve"> created in the Webex developer portal, which is where
the client ID and secret come from.</w:t>
      </w:r>
    </w:p>
    <w:p>
      <w:pPr>
        <w:pStyle w:val="ListParagraph"/>
        <w:numPr>
          <w:ilvl w:val="0"/>
          <w:numId w:val="1"/>
        </w:numPr>
        <w:spacing w:after="80"/>
      </w:pPr>
      <w:r>
        <w:t xml:space="preserve">The </w:t>
      </w:r>
      <w:r>
        <w:rPr>
          <w:b/>
          <w:bCs/>
        </w:rPr>
        <w:t xml:space="preserve">client ID</w:t>
      </w:r>
      <w:r>
        <w:t xml:space="preserve"> and </w:t>
      </w:r>
      <w:r>
        <w:rPr>
          <w:b/>
          <w:bCs/>
        </w:rPr>
        <w:t xml:space="preserve">client secret</w:t>
      </w:r>
      <w:r>
        <w:t xml:space="preserve"> it issued.</w:t>
      </w:r>
    </w:p>
    <w:p>
      <w:pPr>
        <w:pStyle w:val="ListParagraph"/>
        <w:numPr>
          <w:ilvl w:val="0"/>
          <w:numId w:val="1"/>
        </w:numPr>
        <w:spacing w:after="80"/>
      </w:pPr>
      <w:r>
        <w:t xml:space="preserve">The Webex org administrator available to sign in when the approval window
opens.</w:t>
      </w:r>
    </w:p>
    <w:p>
      <w:pPr>
        <w:pStyle w:val="ListParagraph"/>
        <w:numPr>
          <w:ilvl w:val="0"/>
          <w:numId w:val="1"/>
        </w:numPr>
        <w:spacing w:after="80"/>
      </w:pPr>
      <w:r>
        <w:t xml:space="preserve">About twenty minutes, plus a first sync.</w:t>
      </w:r>
    </w:p>
    <w:p>
      <w:pPr>
        <w:spacing w:after="160"/>
      </w:pPr>
      <w:r>
        <w:rPr>
          <w:b/>
          <w:bCs/>
        </w:rPr>
        <w:t xml:space="preserve">Note:</w:t>
      </w:r>
    </w:p>
    <w:p>
      <w:pPr>
        <w:spacing w:after="160"/>
      </w:pPr>
      <w:r>
        <w:t xml:space="preserve">This connection is marked </w:t>
      </w:r>
      <w:r>
        <w:rPr>
          <w:b/>
          <w:bCs/>
        </w:rPr>
        <w:t xml:space="preserve">Beta</w:t>
      </w:r>
      <w:r>
        <w:t xml:space="preserve"> in the marketplace, and it needs your own
Webex integration credentials — there is no built-in Offision app to authorize
against yet.</w:t>
      </w:r>
    </w:p>
    <w:p>
      <w:pPr>
        <w:pStyle w:val="Heading2"/>
      </w:pPr>
      <w:r>
        <w:t xml:space="preserve">1. Create the integration in Webex</w:t>
      </w:r>
    </w:p>
    <w:p>
      <w:pPr>
        <w:spacing w:after="160"/>
      </w:pPr>
      <w:r>
        <w:t xml:space="preserve">In the Webex developer portal, create an </w:t>
      </w:r>
      <w:r>
        <w:rPr>
          <w:b/>
          <w:bCs/>
        </w:rPr>
        <w:t xml:space="preserve">Integration</w:t>
      </w:r>
      <w:r>
        <w:t xml:space="preserve"> and register Offision's
callback address on it. Webex matches that address </w:t>
      </w:r>
      <w:r>
        <w:rPr>
          <w:b/>
          <w:bCs/>
        </w:rPr>
        <w:t xml:space="preserve">exactly</w:t>
      </w:r>
      <w:r>
        <w:t xml:space="preserve"> and rejects
wildcards, so it has to be the one concrete address your Offision is served on —
a guess with a different host or a trailing slash fails at the last step, after
the admin has already signed in.</w:t>
      </w:r>
    </w:p>
    <w:p>
      <w:pPr>
        <w:spacing w:after="160"/>
      </w:pPr>
      <w:r>
        <w:t xml:space="preserve">Copy the client ID and secret it gives you.</w:t>
      </w:r>
    </w:p>
    <w:p>
      <w:pPr>
        <w:pStyle w:val="Heading2"/>
      </w:pPr>
      <w:r>
        <w:t xml:space="preserve">2. Open Cisco Webex Control Hub in Offision</w:t>
      </w:r>
    </w:p>
    <w:p>
      <w:pPr>
        <w:spacing w:after="160"/>
      </w:pPr>
      <w:r>
        <w:t xml:space="preserve">Go to the marketplace and open the </w:t>
      </w:r>
      <w:r>
        <w:rPr>
          <w:b/>
          <w:bCs/>
        </w:rPr>
        <w:t xml:space="preserve">Cisco Webex Control Hub</w:t>
      </w:r>
      <w:r>
        <w:t xml:space="preserve"> tile.</w:t>
      </w:r>
    </w:p>
    <w:p>
      <w:pPr>
        <w:spacing w:after="200"/>
      </w:pPr>
      <w:r>
        <w:rPr>
          <w:color w:val="6E6E73"/>
          <w:sz w:val="18"/>
          <w:szCs w:val="18"/>
        </w:rPr>
        <w:t xml:space="preserve">Where in Offision: admin app → marketplace/apps (Integrations)</w:t>
      </w:r>
    </w:p>
    <w:p>
      <w:pPr>
        <w:spacing w:after="60" w:before="160"/>
        <w:jc w:val="center"/>
      </w:pPr>
      <w:r>
        <w:drawing>
          <wp:inline distT="0" distB="0" distL="0" distR="0">
            <wp:extent cx="5715000" cy="5781675"/>
            <wp:effectExtent t="0" r="0" b="0" l="0"/>
            <wp:docPr id="1" name="webex-marketplace-tile" descr="Cisco Webex Control Hub in the Integrations gallery." title="Cisco Webex Control Hub in the Integrations gall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5781675"/>
                    </a:xfrm>
                    <a:prstGeom prst="rect">
                      <a:avLst/>
                    </a:prstGeom>
                  </pic:spPr>
                </pic:pic>
              </a:graphicData>
            </a:graphic>
          </wp:inline>
        </w:drawing>
      </w:r>
    </w:p>
    <w:p>
      <w:pPr>
        <w:spacing w:after="240"/>
        <w:jc w:val="center"/>
      </w:pPr>
      <w:r>
        <w:rPr>
          <w:i/>
          <w:iCs/>
          <w:color w:val="6E6E73"/>
          <w:sz w:val="18"/>
          <w:szCs w:val="18"/>
        </w:rPr>
        <w:t xml:space="preserve">Cisco Webex Control Hub in the Integrations gallery.</w:t>
      </w:r>
    </w:p>
    <w:p>
      <w:pPr>
        <w:pStyle w:val="Heading2"/>
      </w:pPr>
      <w:r>
        <w:t xml:space="preserve">3. Add the connection</w:t>
      </w:r>
    </w:p>
    <w:p>
      <w:pPr>
        <w:spacing w:after="160"/>
      </w:pPr>
      <w:r>
        <w:t xml:space="preserve">Choose </w:t>
      </w:r>
      <w:r>
        <w:rPr>
          <w:b/>
          <w:bCs/>
        </w:rPr>
        <w:t xml:space="preserve">Add connection</w:t>
      </w:r>
      <w:r>
        <w:t xml:space="preserve"> and fill in the form:</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594"/>
        <w:gridCol w:w="6766"/>
      </w:tblGrid>
      <w:tr>
        <w:trPr>
          <w:cantSplit/>
          <w:tblHeader/>
        </w:trPr>
        <w:tc>
          <w:tcPr>
            <w:tcW w:type="dxa" w:w="2594"/>
            <w:shd w:fill="F5F5F7" w:val="clear"/>
          </w:tcPr>
          <w:p>
            <w:pPr>
              <w:spacing w:after="0"/>
            </w:pPr>
            <w:r>
              <w:rPr>
                <w:b/>
                <w:bCs/>
              </w:rPr>
              <w:t xml:space="preserve">Field</w:t>
            </w:r>
          </w:p>
        </w:tc>
        <w:tc>
          <w:tcPr>
            <w:tcW w:type="dxa" w:w="6766"/>
            <w:shd w:fill="F5F5F7" w:val="clear"/>
          </w:tcPr>
          <w:p>
            <w:pPr>
              <w:spacing w:after="0"/>
            </w:pPr>
            <w:r>
              <w:rPr>
                <w:b/>
                <w:bCs/>
              </w:rPr>
              <w:t xml:space="preserve">What to enter</w:t>
            </w:r>
          </w:p>
        </w:tc>
      </w:tr>
      <w:tr>
        <w:trPr>
          <w:cantSplit/>
        </w:trPr>
        <w:tc>
          <w:tcPr>
            <w:tcW w:type="dxa" w:w="2594"/>
          </w:tcPr>
          <w:p>
            <w:pPr>
              <w:spacing w:after="0"/>
            </w:pPr>
            <w:r>
              <w:rPr>
                <w:b/>
                <w:bCs/>
              </w:rPr>
              <w:t xml:space="preserve">Name</w:t>
            </w:r>
          </w:p>
        </w:tc>
        <w:tc>
          <w:tcPr>
            <w:tcW w:type="dxa" w:w="6766"/>
          </w:tcPr>
          <w:p>
            <w:pPr>
              <w:spacing w:after="0"/>
            </w:pPr>
            <w:r>
              <w:t xml:space="preserve">What this connection should be called in Offision — the organization or the site it covers</w:t>
            </w:r>
          </w:p>
        </w:tc>
      </w:tr>
      <w:tr>
        <w:trPr>
          <w:cantSplit/>
        </w:trPr>
        <w:tc>
          <w:tcPr>
            <w:tcW w:type="dxa" w:w="2594"/>
          </w:tcPr>
          <w:p>
            <w:pPr>
              <w:spacing w:after="0"/>
            </w:pPr>
            <w:r>
              <w:t xml:space="preserve">Organization unit</w:t>
            </w:r>
          </w:p>
        </w:tc>
        <w:tc>
          <w:tcPr>
            <w:tcW w:type="dxa" w:w="6766"/>
          </w:tcPr>
          <w:p>
            <w:pPr>
              <w:spacing w:after="0"/>
            </w:pPr>
            <w:r>
              <w:t xml:space="preserve">Which part of your organization the synced spaces and devices belong to</w:t>
            </w:r>
          </w:p>
        </w:tc>
      </w:tr>
      <w:tr>
        <w:trPr>
          <w:cantSplit/>
        </w:trPr>
        <w:tc>
          <w:tcPr>
            <w:tcW w:type="dxa" w:w="2594"/>
          </w:tcPr>
          <w:p>
            <w:pPr>
              <w:spacing w:after="0"/>
            </w:pPr>
            <w:r>
              <w:rPr>
                <w:b/>
                <w:bCs/>
              </w:rPr>
              <w:t xml:space="preserve">Webex client ID</w:t>
            </w:r>
          </w:p>
        </w:tc>
        <w:tc>
          <w:tcPr>
            <w:tcW w:type="dxa" w:w="6766"/>
          </w:tcPr>
          <w:p>
            <w:pPr>
              <w:spacing w:after="0"/>
            </w:pPr>
            <w:r>
              <w:t xml:space="preserve">From the integration you created in step 1</w:t>
            </w:r>
          </w:p>
        </w:tc>
      </w:tr>
      <w:tr>
        <w:trPr>
          <w:cantSplit/>
        </w:trPr>
        <w:tc>
          <w:tcPr>
            <w:tcW w:type="dxa" w:w="2594"/>
          </w:tcPr>
          <w:p>
            <w:pPr>
              <w:spacing w:after="0"/>
            </w:pPr>
            <w:r>
              <w:rPr>
                <w:b/>
                <w:bCs/>
              </w:rPr>
              <w:t xml:space="preserve">Webex client secret</w:t>
            </w:r>
          </w:p>
        </w:tc>
        <w:tc>
          <w:tcPr>
            <w:tcW w:type="dxa" w:w="6766"/>
          </w:tcPr>
          <w:p>
            <w:pPr>
              <w:spacing w:after="0"/>
            </w:pPr>
            <w:r>
              <w:t xml:space="preserve">From the same place</w:t>
            </w:r>
          </w:p>
        </w:tc>
      </w:tr>
    </w:tbl>
    <w:p>
      <w:pPr>
        <w:spacing w:after="0"/>
      </w:pPr>
    </w:p>
    <w:p>
      <w:pPr>
        <w:spacing w:after="160"/>
      </w:pPr>
      <w:r>
        <w:t xml:space="preserve">Then choose </w:t>
      </w:r>
      <w:r>
        <w:rPr>
          <w:b/>
          <w:bCs/>
        </w:rPr>
        <w:t xml:space="preserve">Connect with Webex</w:t>
      </w:r>
      <w:r>
        <w:t xml:space="preserve">. A window opens on Webex's own sign-in, where
the org administrator approves the access. It closes itself on success.</w:t>
      </w:r>
    </w:p>
    <w:p>
      <w:pPr>
        <w:spacing w:after="160"/>
      </w:pPr>
      <w:r>
        <w:rPr>
          <w:b/>
          <w:bCs/>
        </w:rPr>
        <w:t xml:space="preserve">Note:</w:t>
      </w:r>
    </w:p>
    <w:p>
      <w:pPr>
        <w:spacing w:after="160"/>
      </w:pPr>
      <w:r>
        <w:t xml:space="preserve">If nothing appears when you choose </w:t>
      </w:r>
      <w:r>
        <w:rPr>
          <w:b/>
          <w:bCs/>
        </w:rPr>
        <w:t xml:space="preserve">Connect with Webex</w:t>
      </w:r>
      <w:r>
        <w:t xml:space="preserve">, your browser blocked
the window. Allow pop-ups for Offision and try again — on this step the block is
silent.</w:t>
      </w:r>
    </w:p>
    <w:p>
      <w:pPr>
        <w:pStyle w:val="Heading2"/>
      </w:pPr>
      <w:r>
        <w:t xml:space="preserve">4. Sync workspaces and devices</w:t>
      </w:r>
    </w:p>
    <w:p>
      <w:pPr>
        <w:spacing w:after="160"/>
      </w:pPr>
      <w:r>
        <w:t xml:space="preserve">Open the connection and choose </w:t>
      </w:r>
      <w:r>
        <w:rPr>
          <w:b/>
          <w:bCs/>
        </w:rPr>
        <w:t xml:space="preserve">Sync</w:t>
      </w:r>
      <w:r>
        <w:t xml:space="preserve">. The dialog lists your </w:t>
      </w:r>
      <w:r>
        <w:rPr>
          <w:b/>
          <w:bCs/>
        </w:rPr>
        <w:t xml:space="preserve">Workspaces</w:t>
      </w:r>
      <w:r>
        <w:t xml:space="preserve"> and
your </w:t>
      </w:r>
      <w:r>
        <w:rPr>
          <w:b/>
          <w:bCs/>
        </w:rPr>
        <w:t xml:space="preserve">Devices</w:t>
      </w:r>
      <w:r>
        <w:t xml:space="preserve">, with everything pre-ticked the first time so one press takes
the lot.</w:t>
      </w:r>
    </w:p>
    <w:p>
      <w:pPr>
        <w:spacing w:after="160"/>
      </w:pPr>
      <w:r>
        <w:t xml:space="preserve">For each workspace you tick, choose what it links to under </w:t>
      </w:r>
      <w:r>
        <w:rPr>
          <w:b/>
          <w:bCs/>
        </w:rPr>
        <w:t xml:space="preserve">Space</w:t>
      </w:r>
      <w:r>
        <w:t xml:space="preserve"> — </w:t>
      </w:r>
      <w:r>
        <w:rPr>
          <w:i/>
          <w:iCs/>
        </w:rPr>
        <w:t xml:space="preserve">Create
new IoT space</w:t>
      </w:r>
      <w:r>
        <w:t xml:space="preserve"> for readings alone, or an existing bookable resource to tie the
readings to a room people book.</w:t>
      </w:r>
    </w:p>
    <w:p>
      <w:pPr>
        <w:spacing w:after="160"/>
      </w:pPr>
      <w:r>
        <w:rPr>
          <w:b/>
          <w:bCs/>
        </w:rPr>
        <w:t xml:space="preserve">Note:</w:t>
      </w:r>
    </w:p>
    <w:p>
      <w:pPr>
        <w:spacing w:after="160"/>
      </w:pPr>
      <w:r>
        <w:t xml:space="preserve">Tick the workspace before, or along with, its devices. A device whose workspace
is not synced is skipped, and it is the commonest reason a device seems to go
missing.</w:t>
      </w:r>
    </w:p>
    <w:p>
      <w:pPr>
        <w:spacing w:after="160"/>
      </w:pPr>
      <w:r>
        <w:t xml:space="preserve">The result says how many spaces and devices were synced, how many were removed,
and how many were skipped. Later opens tick only what is already connected, so a
second sync never quietly re-adds what you removed.</w:t>
      </w:r>
    </w:p>
    <w:p>
      <w:pPr>
        <w:pStyle w:val="Heading2"/>
      </w:pPr>
      <w:r>
        <w:t xml:space="preserve">5. Check it worked</w:t>
      </w:r>
    </w:p>
    <w:p>
      <w:pPr>
        <w:spacing w:after="160"/>
      </w:pPr>
      <w:r>
        <w:t xml:space="preserve">Open one of the new devices under </w:t>
      </w:r>
      <w:r>
        <w:rPr>
          <w:b/>
          <w:bCs/>
        </w:rPr>
        <w:t xml:space="preserve">Devices</w:t>
      </w:r>
      <w:r>
        <w:t xml:space="preserve"> and confirm it reports </w:t>
      </w:r>
      <w:r>
        <w:rPr>
          <w:b/>
          <w:bCs/>
        </w:rPr>
        <w:t xml:space="preserve">Online</w:t>
      </w:r>
      <w:r>
        <w:t xml:space="preserve">
and names its Webex product.</w:t>
      </w:r>
    </w:p>
    <w:p>
      <w:pPr>
        <w:spacing w:after="160"/>
      </w:pPr>
      <w:r>
        <w:t xml:space="preserve">Then check the readings, but check them on a device that carries the </w:t>
      </w:r>
      <w:r>
        <w:rPr>
          <w:b/>
          <w:bCs/>
        </w:rPr>
        <w:t xml:space="preserve">xAPI</w:t>
      </w:r>
      <w:r>
        <w:t xml:space="preserve">
chip — those are the only ones that report. Give it a poll interval or two before
deciding the sensors are silent.</w:t>
      </w:r>
    </w:p>
    <w:p>
      <w:pPr>
        <w:pStyle w:val="Heading2"/>
      </w:pPr>
      <w:r>
        <w:t xml:space="preserve">When it goes wrong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680"/>
        <w:gridCol w:w="4680"/>
      </w:tblGrid>
      <w:tr>
        <w:trPr>
          <w:cantSplit/>
          <w:tblHeader/>
        </w:trPr>
        <w:tc>
          <w:tcPr>
            <w:tcW w:type="dxa" w:w="4680"/>
            <w:shd w:fill="F5F5F7" w:val="clear"/>
          </w:tcPr>
          <w:p>
            <w:pPr>
              <w:spacing w:after="0"/>
            </w:pPr>
            <w:r>
              <w:rPr>
                <w:b/>
                <w:bCs/>
              </w:rPr>
              <w:t xml:space="preserve">What you see</w:t>
            </w:r>
          </w:p>
        </w:tc>
        <w:tc>
          <w:tcPr>
            <w:tcW w:type="dxa" w:w="4680"/>
            <w:shd w:fill="F5F5F7" w:val="clear"/>
          </w:tcPr>
          <w:p>
            <w:pPr>
              <w:spacing w:after="0"/>
            </w:pPr>
            <w:r>
              <w:rPr>
                <w:b/>
                <w:bCs/>
              </w:rPr>
              <w:t xml:space="preserve">Usual cause</w:t>
            </w:r>
          </w:p>
        </w:tc>
      </w:tr>
      <w:tr>
        <w:trPr>
          <w:cantSplit/>
        </w:trPr>
        <w:tc>
          <w:tcPr>
            <w:tcW w:type="dxa" w:w="4680"/>
          </w:tcPr>
          <w:p>
            <w:pPr>
              <w:spacing w:after="0"/>
            </w:pPr>
            <w:r>
              <w:t xml:space="preserve">Nothing happens on </w:t>
            </w:r>
            <w:r>
              <w:rPr>
                <w:b/>
                <w:bCs/>
              </w:rPr>
              <w:t xml:space="preserve">Connect with Webex</w:t>
            </w:r>
          </w:p>
        </w:tc>
        <w:tc>
          <w:tcPr>
            <w:tcW w:type="dxa" w:w="4680"/>
          </w:tcPr>
          <w:p>
            <w:pPr>
              <w:spacing w:after="0"/>
            </w:pPr>
            <w:r>
              <w:t xml:space="preserve">The browser blocked the pop-up. Allow pop-ups and retry</w:t>
            </w:r>
          </w:p>
        </w:tc>
      </w:tr>
      <w:tr>
        <w:trPr>
          <w:cantSplit/>
        </w:trPr>
        <w:tc>
          <w:tcPr>
            <w:tcW w:type="dxa" w:w="4680"/>
          </w:tcPr>
          <w:p>
            <w:pPr>
              <w:spacing w:after="0"/>
            </w:pPr>
            <w:r>
              <w:t xml:space="preserve">The window says </w:t>
            </w:r>
            <w:r>
              <w:rPr>
                <w:b/>
                <w:bCs/>
              </w:rPr>
              <w:t xml:space="preserve">Connection failed</w:t>
            </w:r>
            <w:r>
              <w:t xml:space="preserve"> and stays open</w:t>
            </w:r>
          </w:p>
        </w:tc>
        <w:tc>
          <w:tcPr>
            <w:tcW w:type="dxa" w:w="4680"/>
          </w:tcPr>
          <w:p>
            <w:pPr>
              <w:spacing w:after="0"/>
            </w:pPr>
            <w:r>
              <w:t xml:space="preserve">The client secret is wrong, or the callback address registered in Webex does not match exactly. Both fail only at this point</w:t>
            </w:r>
          </w:p>
        </w:tc>
      </w:tr>
      <w:tr>
        <w:trPr>
          <w:cantSplit/>
        </w:trPr>
        <w:tc>
          <w:tcPr>
            <w:tcW w:type="dxa" w:w="4680"/>
          </w:tcPr>
          <w:p>
            <w:pPr>
              <w:spacing w:after="0"/>
            </w:pPr>
            <w:r>
              <w:rPr>
                <w:b/>
                <w:bCs/>
              </w:rPr>
              <w:t xml:space="preserve">Failed to load preview</w:t>
            </w:r>
            <w:r>
              <w:t xml:space="preserve"> in the Sync dialog</w:t>
            </w:r>
          </w:p>
        </w:tc>
        <w:tc>
          <w:tcPr>
            <w:tcW w:type="dxa" w:w="4680"/>
          </w:tcPr>
          <w:p>
            <w:pPr>
              <w:spacing w:after="0"/>
            </w:pPr>
            <w:r>
              <w:t xml:space="preserve">Usually the approval was given by somebody who is not an org administrator, so the permission to read workspaces was never granted. Re-authorize with an admin account</w:t>
            </w:r>
          </w:p>
        </w:tc>
      </w:tr>
      <w:tr>
        <w:trPr>
          <w:cantSplit/>
        </w:trPr>
        <w:tc>
          <w:tcPr>
            <w:tcW w:type="dxa" w:w="4680"/>
          </w:tcPr>
          <w:p>
            <w:pPr>
              <w:spacing w:after="0"/>
            </w:pPr>
            <w:r>
              <w:rPr>
                <w:b/>
                <w:bCs/>
              </w:rPr>
              <w:t xml:space="preserve">No workspaces found</w:t>
            </w:r>
            <w:r>
              <w:t xml:space="preserve"> and </w:t>
            </w:r>
            <w:r>
              <w:rPr>
                <w:b/>
                <w:bCs/>
              </w:rPr>
              <w:t xml:space="preserve">No devices found</w:t>
            </w:r>
            <w:r>
              <w:t xml:space="preserve">, with no error</w:t>
            </w:r>
          </w:p>
        </w:tc>
        <w:tc>
          <w:tcPr>
            <w:tcW w:type="dxa" w:w="4680"/>
          </w:tcPr>
          <w:p>
            <w:pPr>
              <w:spacing w:after="0"/>
            </w:pPr>
            <w:r>
              <w:t xml:space="preserve">The same cause as above — an account without admin rights sees empty lists rather than an error</w:t>
            </w:r>
          </w:p>
        </w:tc>
      </w:tr>
      <w:tr>
        <w:trPr>
          <w:cantSplit/>
        </w:trPr>
        <w:tc>
          <w:tcPr>
            <w:tcW w:type="dxa" w:w="4680"/>
          </w:tcPr>
          <w:p>
            <w:pPr>
              <w:spacing w:after="0"/>
            </w:pPr>
            <w:r>
              <w:t xml:space="preserve">A device is ticked but never appears</w:t>
            </w:r>
          </w:p>
        </w:tc>
        <w:tc>
          <w:tcPr>
            <w:tcW w:type="dxa" w:w="4680"/>
          </w:tcPr>
          <w:p>
            <w:pPr>
              <w:spacing w:after="0"/>
            </w:pPr>
            <w:r>
              <w:t xml:space="preserve">Either its workspace was not synced, or the device is not assigned to any workspace in Control Hub. Assign it there first</w:t>
            </w:r>
          </w:p>
        </w:tc>
      </w:tr>
      <w:tr>
        <w:trPr>
          <w:cantSplit/>
        </w:trPr>
        <w:tc>
          <w:tcPr>
            <w:tcW w:type="dxa" w:w="4680"/>
          </w:tcPr>
          <w:p>
            <w:pPr>
              <w:spacing w:after="0"/>
            </w:pPr>
            <w:r>
              <w:t xml:space="preserve">The result says </w:t>
            </w:r>
            <w:r>
              <w:rPr>
                <w:i/>
                <w:iCs/>
              </w:rPr>
              <w:t xml:space="preserve">n</w:t>
            </w:r>
            <w:r>
              <w:t xml:space="preserve"> </w:t>
            </w:r>
            <w:r>
              <w:rPr>
                <w:b/>
                <w:bCs/>
              </w:rPr>
              <w:t xml:space="preserve">skipped</w:t>
            </w:r>
          </w:p>
        </w:tc>
        <w:tc>
          <w:tcPr>
            <w:tcW w:type="dxa" w:w="4680"/>
          </w:tcPr>
          <w:p>
            <w:pPr>
              <w:spacing w:after="0"/>
            </w:pPr>
            <w:r>
              <w:t xml:space="preserve">Normal on a re-sync — an already-mapped workspace counts as skipped. Worth reading only when it is unexpected</w:t>
            </w:r>
          </w:p>
        </w:tc>
      </w:tr>
      <w:tr>
        <w:trPr>
          <w:cantSplit/>
        </w:trPr>
        <w:tc>
          <w:tcPr>
            <w:tcW w:type="dxa" w:w="4680"/>
          </w:tcPr>
          <w:p>
            <w:pPr>
              <w:spacing w:after="0"/>
            </w:pPr>
            <w:r>
              <w:t xml:space="preserve">The connection goes </w:t>
            </w:r>
            <w:r>
              <w:rPr>
                <w:b/>
                <w:bCs/>
              </w:rPr>
              <w:t xml:space="preserve">Suspended</w:t>
            </w:r>
          </w:p>
        </w:tc>
        <w:tc>
          <w:tcPr>
            <w:tcW w:type="dxa" w:w="4680"/>
          </w:tcPr>
          <w:p>
            <w:pPr>
              <w:spacing w:after="0"/>
            </w:pPr>
            <w:r>
              <w:t xml:space="preserve">Either the permissions were narrowed in Webex, which suspends it immediately, or the authorization expired and repeated attempts failed. Use </w:t>
            </w:r>
            <w:r>
              <w:rPr>
                <w:b/>
                <w:bCs/>
              </w:rPr>
              <w:t xml:space="preserve">Renew access</w:t>
            </w:r>
            <w:r>
              <w:t xml:space="preserve"> on the connection</w:t>
            </w:r>
          </w:p>
        </w:tc>
      </w:tr>
      <w:tr>
        <w:trPr>
          <w:cantSplit/>
        </w:trPr>
        <w:tc>
          <w:tcPr>
            <w:tcW w:type="dxa" w:w="4680"/>
          </w:tcPr>
          <w:p>
            <w:pPr>
              <w:spacing w:after="0"/>
            </w:pPr>
            <w:r>
              <w:rPr>
                <w:b/>
                <w:bCs/>
              </w:rPr>
              <w:t xml:space="preserve">Authorization is taking longer than expected</w:t>
            </w:r>
          </w:p>
        </w:tc>
        <w:tc>
          <w:tcPr>
            <w:tcW w:type="dxa" w:w="4680"/>
          </w:tcPr>
          <w:p>
            <w:pPr>
              <w:spacing w:after="0"/>
            </w:pPr>
            <w:r>
              <w:t xml:space="preserve">The approval window was left open too long. Start </w:t>
            </w:r>
            <w:r>
              <w:rPr>
                <w:b/>
                <w:bCs/>
              </w:rPr>
              <w:t xml:space="preserve">Renew access</w:t>
            </w:r>
            <w:r>
              <w:t xml:space="preserve"> again</w:t>
            </w:r>
          </w:p>
        </w:tc>
      </w:tr>
    </w:tbl>
    <w:p>
      <w:pPr>
        <w:spacing w:after="0"/>
      </w:pPr>
    </w:p>
    <w:p>
      <w:pPr>
        <w:spacing w:after="160"/>
      </w:pPr>
      <w:r>
        <w:t xml:space="preserve">A large organization simply takes longer to sync — Webex asks Offision to slow
down and Offision waits, so a slow first sync is not a fault.</w:t>
      </w:r>
    </w:p>
    <w:p>
      <w:pPr>
        <w:spacing w:after="160"/>
      </w:pPr>
      <w:r>
        <w:rPr>
          <w:b/>
          <w:bCs/>
        </w:rPr>
        <w:t xml:space="preserve">If none of these fit:</w:t>
      </w:r>
      <w:r>
        <w:t xml:space="preserve">
Collect these before opening a ticket:</w:t>
      </w:r>
    </w:p>
    <w:p>
      <w:pPr>
        <w:pStyle w:val="ListParagraph"/>
        <w:numPr>
          <w:ilvl w:val="0"/>
          <w:numId w:val="1"/>
        </w:numPr>
        <w:spacing w:after="80"/>
      </w:pPr>
      <w:r>
        <w:t xml:space="preserve">the connection's </w:t>
      </w:r>
      <w:r>
        <w:rPr>
          <w:b/>
          <w:bCs/>
        </w:rPr>
        <w:t xml:space="preserve">name</w:t>
      </w:r>
      <w:r>
        <w:t xml:space="preserve"> and whether it reads Active or Suspended;</w:t>
      </w:r>
    </w:p>
    <w:p>
      <w:pPr>
        <w:pStyle w:val="ListParagraph"/>
        <w:numPr>
          <w:ilvl w:val="0"/>
          <w:numId w:val="1"/>
        </w:numPr>
        <w:spacing w:after="80"/>
      </w:pPr>
      <w:r>
        <w:t xml:space="preserve">whether the Webex account that approved the access is an </w:t>
      </w:r>
      <w:r>
        <w:rPr>
          <w:b/>
          <w:bCs/>
        </w:rPr>
        <w:t xml:space="preserve">organization
administrator</w:t>
      </w:r>
      <w:r>
        <w:t xml:space="preserve">;</w:t>
      </w:r>
    </w:p>
    <w:p>
      <w:pPr>
        <w:pStyle w:val="ListParagraph"/>
        <w:numPr>
          <w:ilvl w:val="0"/>
          <w:numId w:val="1"/>
        </w:numPr>
        <w:spacing w:after="80"/>
      </w:pPr>
      <w:r>
        <w:t xml:space="preserve">the exact callback address registered on your Webex integration;</w:t>
      </w:r>
    </w:p>
    <w:p>
      <w:pPr>
        <w:pStyle w:val="ListParagraph"/>
        <w:numPr>
          <w:ilvl w:val="0"/>
          <w:numId w:val="1"/>
        </w:numPr>
        <w:spacing w:after="80"/>
      </w:pPr>
      <w:r>
        <w:t xml:space="preserve">one </w:t>
      </w:r>
      <w:r>
        <w:rPr>
          <w:b/>
          <w:bCs/>
        </w:rPr>
        <w:t xml:space="preserve">workspace name</w:t>
      </w:r>
      <w:r>
        <w:t xml:space="preserve"> and one </w:t>
      </w:r>
      <w:r>
        <w:rPr>
          <w:b/>
          <w:bCs/>
        </w:rPr>
        <w:t xml:space="preserve">device name</w:t>
      </w:r>
      <w:r>
        <w:t xml:space="preserve"> that should have synced and did
not;</w:t>
      </w:r>
    </w:p>
    <w:p>
      <w:pPr>
        <w:pStyle w:val="ListParagraph"/>
        <w:numPr>
          <w:ilvl w:val="0"/>
          <w:numId w:val="1"/>
        </w:numPr>
        <w:spacing w:after="80"/>
      </w:pPr>
      <w:r>
        <w:t xml:space="preserve">whether that device shows the </w:t>
      </w:r>
      <w:r>
        <w:rPr>
          <w:b/>
          <w:bCs/>
        </w:rPr>
        <w:t xml:space="preserve">xAPI</w:t>
      </w:r>
      <w:r>
        <w:t xml:space="preserve"> chip in the Sync dialog.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9u72oeboup_ljjnzdeiho" Type="http://schemas.openxmlformats.org/officeDocument/2006/relationships/hyperlink" Target="https://offision.com/help/en/integrations/connect-webex-control-hub/" TargetMode="External"/><Relationship Id="rId7" Type="http://schemas.openxmlformats.org/officeDocument/2006/relationships/image" Target="media/feb87a89b77994c1573706d1fb05273f492602f0.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 Cisco Webex Control Hub</dc:title>
  <dc:creator>Offision</dc:creator>
  <cp:lastModifiedBy>Un-named</cp:lastModifiedBy>
  <cp:revision>1</cp:revision>
  <dcterms:created xsi:type="dcterms:W3CDTF">2026-09-08T10:18:58.235Z</dcterms:created>
  <dcterms:modified xsi:type="dcterms:W3CDTF">2026-09-08T10:18:58.235Z</dcterms:modified>
</cp:coreProperties>
</file>

<file path=docProps/custom.xml><?xml version="1.0" encoding="utf-8"?>
<Properties xmlns="http://schemas.openxmlformats.org/officeDocument/2006/custom-properties" xmlns:vt="http://schemas.openxmlformats.org/officeDocument/2006/docPropsVTypes"/>
</file>