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Connect Microsoft 365 with your own Entra ID app</w:t>
      </w:r>
    </w:p>
    <w:p>
      <w:pPr>
        <w:spacing w:after="120"/>
      </w:pPr>
      <w:r>
        <w:rPr>
          <w:color w:val="6E6E73"/>
          <w:sz w:val="24"/>
          <w:szCs w:val="24"/>
        </w:rPr>
        <w:t xml:space="preserve">Register the application yourself, choose exactly which permissions Offision gets, and hand it the credentials. For security policies that will not accept a third-party app registration.</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nwd6v6wtqki9_mjxakdqg">
        <w:r>
          <w:rPr>
            <w:rStyle w:val="Hyperlink"/>
            <w:color w:val="6E6E73"/>
            <w:sz w:val="18"/>
            <w:szCs w:val="18"/>
          </w:rPr>
          <w:t xml:space="preserve">https://offision.com/help/en/integrations/connect-microsoft-365-with-your-own-entra-app/</w:t>
        </w:r>
      </w:hyperlink>
    </w:p>
    <w:p>
      <w:pPr>
        <w:spacing w:after="160"/>
      </w:pPr>
      <w:r>
        <w:t xml:space="preserve">Most organisations should connect with
</w:t>
      </w:r>
      <w:hyperlink w:history="1" r:id="rIdsakisibspw4pw1roa57xy">
        <w:r>
          <w:rPr>
            <w:rStyle w:val="Hyperlink"/>
          </w:rPr>
          <w:t xml:space="preserve">application mode</w:t>
        </w:r>
      </w:hyperlink>
      <w:r>
        <w:t xml:space="preserve"> or
</w:t>
      </w:r>
      <w:hyperlink w:history="1" r:id="rIdaz-60adozwfs8sf-r34hb">
        <w:r>
          <w:rPr>
            <w:rStyle w:val="Hyperlink"/>
          </w:rPr>
          <w:t xml:space="preserve">delegate mode</w:t>
        </w:r>
      </w:hyperlink>
      <w:r>
        <w:t xml:space="preserve">, which use Offision's own
app registration and need no credentials at all.</w:t>
      </w:r>
    </w:p>
    <w:p>
      <w:pPr>
        <w:spacing w:after="160"/>
      </w:pPr>
      <w:r>
        <w:t xml:space="preserve">Use this path when that is not acceptable — when your security policy requires the
application to be registered in your own Microsoft Entra ID, with permissions you
choose and a secret you control and can revoke.</w:t>
      </w:r>
    </w:p>
    <w:p>
      <w:pPr>
        <w:spacing w:after="160"/>
      </w:pPr>
      <w:r>
        <w:rPr>
          <w:b/>
          <w:bCs/>
        </w:rPr>
        <w:t xml:space="preserve">Before you start:</w:t>
      </w:r>
      <w:r>
        <w:t xml:space="preserve">
You need someone who can create an app registration in Microsoft Entra ID, grant it
API permissions, and grant admin consent for those permissions. That is usually not
the same person who administers Offision, so expect this to take two people and more
than one sitting.</w:t>
      </w:r>
    </w:p>
    <w:p>
      <w:pPr>
        <w:pStyle w:val="Heading2"/>
      </w:pPr>
      <w:r>
        <w:t xml:space="preserve">What to have ready</w:t>
      </w:r>
    </w:p>
    <w:p>
      <w:pPr>
        <w:pStyle w:val="ListParagraph"/>
        <w:numPr>
          <w:ilvl w:val="0"/>
          <w:numId w:val="1"/>
        </w:numPr>
        <w:spacing w:after="80"/>
      </w:pPr>
      <w:r>
        <w:t xml:space="preserve">An app registration in Microsoft Entra ID, or the ability to create one</w:t>
      </w:r>
    </w:p>
    <w:p>
      <w:pPr>
        <w:pStyle w:val="ListParagraph"/>
        <w:numPr>
          <w:ilvl w:val="0"/>
          <w:numId w:val="1"/>
        </w:numPr>
        <w:spacing w:after="80"/>
      </w:pPr>
      <w:r>
        <w:t xml:space="preserve">Its </w:t>
      </w:r>
      <w:r>
        <w:rPr>
          <w:b/>
          <w:bCs/>
        </w:rPr>
        <w:t xml:space="preserve">Directory (tenant) ID</w:t>
      </w:r>
      <w:r>
        <w:t xml:space="preserve"> and </w:t>
      </w:r>
      <w:r>
        <w:rPr>
          <w:b/>
          <w:bCs/>
        </w:rPr>
        <w:t xml:space="preserve">Application (client) ID</w:t>
      </w:r>
    </w:p>
    <w:p>
      <w:pPr>
        <w:pStyle w:val="ListParagraph"/>
        <w:numPr>
          <w:ilvl w:val="0"/>
          <w:numId w:val="1"/>
        </w:numPr>
        <w:spacing w:after="80"/>
      </w:pPr>
      <w:r>
        <w:t xml:space="preserve">A client secret </w:t>
      </w:r>
      <w:r>
        <w:rPr>
          <w:b/>
          <w:bCs/>
        </w:rPr>
        <w:t xml:space="preserve">value</w:t>
      </w:r>
      <w:r>
        <w:t xml:space="preserve"> — copy it when it is created, because Microsoft will not
show it again</w:t>
      </w:r>
    </w:p>
    <w:p>
      <w:pPr>
        <w:pStyle w:val="ListParagraph"/>
        <w:numPr>
          <w:ilvl w:val="0"/>
          <w:numId w:val="1"/>
        </w:numPr>
        <w:spacing w:after="80"/>
      </w:pPr>
      <w:r>
        <w:t xml:space="preserve">Somewhere to paste two redirect URIs back into that registration</w:t>
      </w:r>
    </w:p>
    <w:p>
      <w:pPr>
        <w:pStyle w:val="ListParagraph"/>
        <w:numPr>
          <w:ilvl w:val="0"/>
          <w:numId w:val="1"/>
        </w:numPr>
        <w:spacing w:after="80"/>
      </w:pPr>
      <w:r>
        <w:t xml:space="preserve">Half an hour, and patience with Microsoft's permission propagation</w:t>
      </w:r>
    </w:p>
    <w:p>
      <w:pPr>
        <w:pStyle w:val="Heading2"/>
      </w:pPr>
      <w:r>
        <w:t xml:space="preserve">1. Open the customize path</w:t>
      </w:r>
    </w:p>
    <w:p>
      <w:pPr>
        <w:spacing w:after="200"/>
      </w:pPr>
      <w:r>
        <w:rPr>
          <w:color w:val="6E6E73"/>
          <w:sz w:val="18"/>
          <w:szCs w:val="18"/>
        </w:rPr>
        <w:t xml:space="preserve">Where in Offision: admin app → marketplace/apps (Integrations)</w:t>
      </w:r>
    </w:p>
    <w:p>
      <w:pPr>
        <w:spacing w:after="160"/>
      </w:pPr>
      <w:r>
        <w:t xml:space="preserve">Open the Microsoft 365 tile, choose </w:t>
      </w:r>
      <w:r>
        <w:rPr>
          <w:b/>
          <w:bCs/>
        </w:rPr>
        <w:t xml:space="preserve">Connect to Microsoft 365 account</w:t>
      </w:r>
      <w:r>
        <w:t xml:space="preserve">, then below
the separator choose </w:t>
      </w:r>
      <w:r>
        <w:rPr>
          <w:b/>
          <w:bCs/>
        </w:rPr>
        <w:t xml:space="preserve">Customize</w:t>
      </w:r>
      <w:r>
        <w:t xml:space="preserve"> — </w:t>
      </w:r>
      <w:r>
        <w:rPr>
          <w:i/>
          <w:iCs/>
        </w:rPr>
        <w:t xml:space="preserve">Bring your own Microsoft Entra ID app or
customize permissions</w:t>
      </w:r>
      <w:r>
        <w:t xml:space="preserve">.</w:t>
      </w:r>
    </w:p>
    <w:p>
      <w:pPr>
        <w:spacing w:after="160"/>
      </w:pPr>
      <w:r>
        <w:t xml:space="preserve">The wizard has two steps, listed down the left: </w:t>
      </w:r>
      <w:r>
        <w:rPr>
          <w:b/>
          <w:bCs/>
        </w:rPr>
        <w:t xml:space="preserve">Mode</w:t>
      </w:r>
      <w:r>
        <w:t xml:space="preserve">, then </w:t>
      </w:r>
      <w:r>
        <w:rPr>
          <w:b/>
          <w:bCs/>
        </w:rPr>
        <w:t xml:space="preserve">Credentials</w:t>
      </w:r>
      <w:r>
        <w:t xml:space="preserve">.</w:t>
      </w:r>
    </w:p>
    <w:p>
      <w:pPr>
        <w:pStyle w:val="Heading2"/>
      </w:pPr>
      <w:r>
        <w:t xml:space="preserve">2. Choose the mode</w:t>
      </w:r>
    </w:p>
    <w:p>
      <w:pPr>
        <w:spacing w:after="160"/>
      </w:pPr>
      <w:r>
        <w:t xml:space="preserve">Modes are laid out in two columns, </w:t>
      </w:r>
      <w:r>
        <w:rPr>
          <w:b/>
          <w:bCs/>
        </w:rPr>
        <w:t xml:space="preserve">Application</w:t>
      </w:r>
      <w:r>
        <w:t xml:space="preserve"> and </w:t>
      </w:r>
      <w:r>
        <w:rPr>
          <w:b/>
          <w:bCs/>
        </w:rPr>
        <w:t xml:space="preserve">Delegated</w:t>
      </w:r>
      <w:r>
        <w:t xml:space="preserve">. The column
decides how Offision acts against Microsoft: an application-family mode acts as the
application itself, so one admin consent covers the organisation and there is no
mailbox to keep alive. A delegated mode acts as a signed-in account, and reaches only
what that account can reach.</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14"/>
        <w:gridCol w:w="2229"/>
        <w:gridCol w:w="1702"/>
        <w:gridCol w:w="1459"/>
        <w:gridCol w:w="1337"/>
        <w:gridCol w:w="1519"/>
      </w:tblGrid>
      <w:tr>
        <w:trPr>
          <w:cantSplit/>
          <w:tblHeader/>
        </w:trPr>
        <w:tc>
          <w:tcPr>
            <w:tcW w:type="dxa" w:w="1114"/>
            <w:shd w:fill="F5F5F7" w:val="clear"/>
          </w:tcPr>
          <w:p>
            <w:pPr>
              <w:spacing w:after="0"/>
            </w:pPr>
            <w:r>
              <w:rPr>
                <w:b/>
                <w:bCs/>
              </w:rPr>
              <w:t xml:space="preserve">Family</w:t>
            </w:r>
          </w:p>
        </w:tc>
        <w:tc>
          <w:tcPr>
            <w:tcW w:type="dxa" w:w="2229"/>
            <w:shd w:fill="F5F5F7" w:val="clear"/>
          </w:tcPr>
          <w:p>
            <w:pPr>
              <w:spacing w:after="0"/>
            </w:pPr>
            <w:r>
              <w:rPr>
                <w:b/>
                <w:bCs/>
              </w:rPr>
              <w:t xml:space="preserve">Mode</w:t>
            </w:r>
          </w:p>
        </w:tc>
        <w:tc>
          <w:tcPr>
            <w:tcW w:type="dxa" w:w="1702"/>
            <w:shd w:fill="F5F5F7" w:val="clear"/>
          </w:tcPr>
          <w:p>
            <w:pPr>
              <w:spacing w:after="0"/>
            </w:pPr>
            <w:r>
              <w:rPr>
                <w:b/>
                <w:bCs/>
              </w:rPr>
              <w:t xml:space="preserve">Room calendars</w:t>
            </w:r>
          </w:p>
        </w:tc>
        <w:tc>
          <w:tcPr>
            <w:tcW w:type="dxa" w:w="1459"/>
            <w:shd w:fill="F5F5F7" w:val="clear"/>
          </w:tcPr>
          <w:p>
            <w:pPr>
              <w:spacing w:after="0"/>
            </w:pPr>
            <w:r>
              <w:rPr>
                <w:b/>
                <w:bCs/>
              </w:rPr>
              <w:t xml:space="preserve">User sign-in</w:t>
            </w:r>
          </w:p>
        </w:tc>
        <w:tc>
          <w:tcPr>
            <w:tcW w:type="dxa" w:w="1337"/>
            <w:shd w:fill="F5F5F7" w:val="clear"/>
          </w:tcPr>
          <w:p>
            <w:pPr>
              <w:spacing w:after="0"/>
            </w:pPr>
            <w:r>
              <w:rPr>
                <w:b/>
                <w:bCs/>
              </w:rPr>
              <w:t xml:space="preserve">People sync</w:t>
            </w:r>
          </w:p>
        </w:tc>
        <w:tc>
          <w:tcPr>
            <w:tcW w:type="dxa" w:w="1519"/>
            <w:shd w:fill="F5F5F7" w:val="clear"/>
          </w:tcPr>
          <w:p>
            <w:pPr>
              <w:spacing w:after="0"/>
            </w:pPr>
            <w:r>
              <w:rPr>
                <w:b/>
                <w:bCs/>
              </w:rPr>
              <w:t xml:space="preserve">Use case</w:t>
            </w:r>
          </w:p>
        </w:tc>
      </w:tr>
      <w:tr>
        <w:trPr>
          <w:cantSplit/>
        </w:trPr>
        <w:tc>
          <w:tcPr>
            <w:tcW w:type="dxa" w:w="1114"/>
          </w:tcPr>
          <w:p>
            <w:pPr>
              <w:spacing w:after="0"/>
            </w:pPr>
            <w:r>
              <w:t xml:space="preserve">Application</w:t>
            </w:r>
          </w:p>
        </w:tc>
        <w:tc>
          <w:tcPr>
            <w:tcW w:type="dxa" w:w="2229"/>
          </w:tcPr>
          <w:p>
            <w:pPr>
              <w:spacing w:after="0"/>
            </w:pPr>
            <w:r>
              <w:t xml:space="preserve">Complete mode</w:t>
            </w:r>
          </w:p>
        </w:tc>
        <w:tc>
          <w:tcPr>
            <w:tcW w:type="dxa" w:w="1702"/>
          </w:tcPr>
          <w:p>
            <w:pPr>
              <w:spacing w:after="0"/>
            </w:pPr>
            <w:r>
              <w:t xml:space="preserve">yes</w:t>
            </w:r>
          </w:p>
        </w:tc>
        <w:tc>
          <w:tcPr>
            <w:tcW w:type="dxa" w:w="1459"/>
          </w:tcPr>
          <w:p>
            <w:pPr>
              <w:spacing w:after="0"/>
            </w:pPr>
            <w:r>
              <w:t xml:space="preserve">yes</w:t>
            </w:r>
          </w:p>
        </w:tc>
        <w:tc>
          <w:tcPr>
            <w:tcW w:type="dxa" w:w="1337"/>
          </w:tcPr>
          <w:p>
            <w:pPr>
              <w:spacing w:after="0"/>
            </w:pPr>
            <w:r>
              <w:t xml:space="preserve">yes</w:t>
            </w:r>
          </w:p>
        </w:tc>
        <w:tc>
          <w:tcPr>
            <w:tcW w:type="dxa" w:w="1519"/>
          </w:tcPr>
          <w:p>
            <w:pPr>
              <w:spacing w:after="0"/>
            </w:pPr>
            <w:r>
              <w:t xml:space="preserve">all staff</w:t>
            </w:r>
          </w:p>
        </w:tc>
      </w:tr>
      <w:tr>
        <w:trPr>
          <w:cantSplit/>
        </w:trPr>
        <w:tc>
          <w:tcPr>
            <w:tcW w:type="dxa" w:w="1114"/>
          </w:tcPr>
          <w:p>
            <w:pPr>
              <w:spacing w:after="0"/>
            </w:pPr>
            <w:r>
              <w:t xml:space="preserve">Application</w:t>
            </w:r>
          </w:p>
        </w:tc>
        <w:tc>
          <w:tcPr>
            <w:tcW w:type="dxa" w:w="2229"/>
          </w:tcPr>
          <w:p>
            <w:pPr>
              <w:spacing w:after="0"/>
            </w:pPr>
            <w:r>
              <w:t xml:space="preserve">Resource only mode</w:t>
            </w:r>
          </w:p>
        </w:tc>
        <w:tc>
          <w:tcPr>
            <w:tcW w:type="dxa" w:w="1702"/>
          </w:tcPr>
          <w:p>
            <w:pPr>
              <w:spacing w:after="0"/>
            </w:pPr>
            <w:r>
              <w:t xml:space="preserve">yes</w:t>
            </w:r>
          </w:p>
        </w:tc>
        <w:tc>
          <w:tcPr>
            <w:tcW w:type="dxa" w:w="1459"/>
          </w:tcPr>
          <w:p>
            <w:pPr>
              <w:spacing w:after="0"/>
            </w:pPr>
            <w:r>
              <w:t xml:space="preserve">no</w:t>
            </w:r>
          </w:p>
        </w:tc>
        <w:tc>
          <w:tcPr>
            <w:tcW w:type="dxa" w:w="1337"/>
          </w:tcPr>
          <w:p>
            <w:pPr>
              <w:spacing w:after="0"/>
            </w:pPr>
            <w:r>
              <w:t xml:space="preserve">no</w:t>
            </w:r>
          </w:p>
        </w:tc>
        <w:tc>
          <w:tcPr>
            <w:tcW w:type="dxa" w:w="1519"/>
          </w:tcPr>
          <w:p>
            <w:pPr>
              <w:spacing w:after="0"/>
            </w:pPr>
            <w:r>
              <w:t xml:space="preserve">higher security</w:t>
            </w:r>
          </w:p>
        </w:tc>
      </w:tr>
      <w:tr>
        <w:trPr>
          <w:cantSplit/>
        </w:trPr>
        <w:tc>
          <w:tcPr>
            <w:tcW w:type="dxa" w:w="1114"/>
          </w:tcPr>
          <w:p>
            <w:pPr>
              <w:spacing w:after="0"/>
            </w:pPr>
            <w:r>
              <w:t xml:space="preserve">Delegated</w:t>
            </w:r>
          </w:p>
        </w:tc>
        <w:tc>
          <w:tcPr>
            <w:tcW w:type="dxa" w:w="2229"/>
          </w:tcPr>
          <w:p>
            <w:pPr>
              <w:spacing w:after="0"/>
            </w:pPr>
            <w:r>
              <w:t xml:space="preserve">Complete mode</w:t>
            </w:r>
          </w:p>
        </w:tc>
        <w:tc>
          <w:tcPr>
            <w:tcW w:type="dxa" w:w="1702"/>
          </w:tcPr>
          <w:p>
            <w:pPr>
              <w:spacing w:after="0"/>
            </w:pPr>
            <w:r>
              <w:t xml:space="preserve">yes</w:t>
            </w:r>
          </w:p>
        </w:tc>
        <w:tc>
          <w:tcPr>
            <w:tcW w:type="dxa" w:w="1459"/>
          </w:tcPr>
          <w:p>
            <w:pPr>
              <w:spacing w:after="0"/>
            </w:pPr>
            <w:r>
              <w:t xml:space="preserve">yes</w:t>
            </w:r>
          </w:p>
        </w:tc>
        <w:tc>
          <w:tcPr>
            <w:tcW w:type="dxa" w:w="1337"/>
          </w:tcPr>
          <w:p>
            <w:pPr>
              <w:spacing w:after="0"/>
            </w:pPr>
            <w:r>
              <w:t xml:space="preserve">yes</w:t>
            </w:r>
          </w:p>
        </w:tc>
        <w:tc>
          <w:tcPr>
            <w:tcW w:type="dxa" w:w="1519"/>
          </w:tcPr>
          <w:p>
            <w:pPr>
              <w:spacing w:after="0"/>
            </w:pPr>
            <w:r>
              <w:t xml:space="preserve">all staff</w:t>
            </w:r>
          </w:p>
        </w:tc>
      </w:tr>
      <w:tr>
        <w:trPr>
          <w:cantSplit/>
        </w:trPr>
        <w:tc>
          <w:tcPr>
            <w:tcW w:type="dxa" w:w="1114"/>
          </w:tcPr>
          <w:p>
            <w:pPr>
              <w:spacing w:after="0"/>
            </w:pPr>
            <w:r>
              <w:t xml:space="preserve">Delegated</w:t>
            </w:r>
          </w:p>
        </w:tc>
        <w:tc>
          <w:tcPr>
            <w:tcW w:type="dxa" w:w="2229"/>
          </w:tcPr>
          <w:p>
            <w:pPr>
              <w:spacing w:after="0"/>
            </w:pPr>
            <w:r>
              <w:t xml:space="preserve">Standard mode</w:t>
            </w:r>
          </w:p>
        </w:tc>
        <w:tc>
          <w:tcPr>
            <w:tcW w:type="dxa" w:w="1702"/>
          </w:tcPr>
          <w:p>
            <w:pPr>
              <w:spacing w:after="0"/>
            </w:pPr>
            <w:r>
              <w:t xml:space="preserve">yes</w:t>
            </w:r>
          </w:p>
        </w:tc>
        <w:tc>
          <w:tcPr>
            <w:tcW w:type="dxa" w:w="1459"/>
          </w:tcPr>
          <w:p>
            <w:pPr>
              <w:spacing w:after="0"/>
            </w:pPr>
            <w:r>
              <w:t xml:space="preserve">yes</w:t>
            </w:r>
          </w:p>
        </w:tc>
        <w:tc>
          <w:tcPr>
            <w:tcW w:type="dxa" w:w="1337"/>
          </w:tcPr>
          <w:p>
            <w:pPr>
              <w:spacing w:after="0"/>
            </w:pPr>
            <w:r>
              <w:t xml:space="preserve">no</w:t>
            </w:r>
          </w:p>
        </w:tc>
        <w:tc>
          <w:tcPr>
            <w:tcW w:type="dxa" w:w="1519"/>
          </w:tcPr>
          <w:p>
            <w:pPr>
              <w:spacing w:after="0"/>
            </w:pPr>
            <w:r>
              <w:t xml:space="preserve">one department</w:t>
            </w:r>
          </w:p>
        </w:tc>
      </w:tr>
      <w:tr>
        <w:trPr>
          <w:cantSplit/>
        </w:trPr>
        <w:tc>
          <w:tcPr>
            <w:tcW w:type="dxa" w:w="1114"/>
          </w:tcPr>
          <w:p>
            <w:pPr>
              <w:spacing w:after="0"/>
            </w:pPr>
            <w:r>
              <w:t xml:space="preserve">Delegated</w:t>
            </w:r>
          </w:p>
        </w:tc>
        <w:tc>
          <w:tcPr>
            <w:tcW w:type="dxa" w:w="2229"/>
          </w:tcPr>
          <w:p>
            <w:pPr>
              <w:spacing w:after="0"/>
            </w:pPr>
            <w:r>
              <w:t xml:space="preserve">Resource calendar mode</w:t>
            </w:r>
          </w:p>
        </w:tc>
        <w:tc>
          <w:tcPr>
            <w:tcW w:type="dxa" w:w="1702"/>
          </w:tcPr>
          <w:p>
            <w:pPr>
              <w:spacing w:after="0"/>
            </w:pPr>
            <w:r>
              <w:t xml:space="preserve">yes</w:t>
            </w:r>
          </w:p>
        </w:tc>
        <w:tc>
          <w:tcPr>
            <w:tcW w:type="dxa" w:w="1459"/>
          </w:tcPr>
          <w:p>
            <w:pPr>
              <w:spacing w:after="0"/>
            </w:pPr>
            <w:r>
              <w:t xml:space="preserve">no</w:t>
            </w:r>
          </w:p>
        </w:tc>
        <w:tc>
          <w:tcPr>
            <w:tcW w:type="dxa" w:w="1337"/>
          </w:tcPr>
          <w:p>
            <w:pPr>
              <w:spacing w:after="0"/>
            </w:pPr>
            <w:r>
              <w:t xml:space="preserve">no</w:t>
            </w:r>
          </w:p>
        </w:tc>
        <w:tc>
          <w:tcPr>
            <w:tcW w:type="dxa" w:w="1519"/>
          </w:tcPr>
          <w:p>
            <w:pPr>
              <w:spacing w:after="0"/>
            </w:pPr>
            <w:r>
              <w:t xml:space="preserve">higher security</w:t>
            </w:r>
          </w:p>
        </w:tc>
      </w:tr>
    </w:tbl>
    <w:p>
      <w:pPr>
        <w:spacing w:after="0"/>
      </w:pPr>
    </w:p>
    <w:p>
      <w:pPr>
        <w:spacing w:after="160"/>
      </w:pPr>
      <w:r>
        <w:rPr>
          <w:b/>
          <w:bCs/>
        </w:rPr>
        <w:t xml:space="preserve">Functions</w:t>
      </w:r>
      <w:r>
        <w:t xml:space="preserve"> under the matrix shows the same three capabilities for whichever mode is
selected, so you can check your choice before moving on.</w:t>
      </w:r>
    </w:p>
    <w:p>
      <w:pPr>
        <w:spacing w:after="60" w:before="160"/>
        <w:jc w:val="center"/>
      </w:pPr>
      <w:r>
        <w:drawing>
          <wp:inline distT="0" distB="0" distL="0" distR="0">
            <wp:extent cx="5715000" cy="4629150"/>
            <wp:effectExtent t="0" r="0" b="0" l="0"/>
            <wp:docPr id="1" name="m365-customize-mode-step" descr="The mode step, with its function list and required permissions." title="The mode step, with its function list and required per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mode step, with its function list and required permissions.</w:t>
      </w:r>
    </w:p>
    <w:p>
      <w:pPr>
        <w:pStyle w:val="Heading2"/>
      </w:pPr>
      <w:r>
        <w:t xml:space="preserve">3. Grant the permissions the wizard lists</w:t>
      </w:r>
    </w:p>
    <w:p>
      <w:pPr>
        <w:spacing w:after="160"/>
      </w:pPr>
      <w:r>
        <w:t xml:space="preserve">Below the mode matrix, </w:t>
      </w:r>
      <w:r>
        <w:rPr>
          <w:b/>
          <w:bCs/>
        </w:rPr>
        <w:t xml:space="preserve">Permission requirement</w:t>
      </w:r>
      <w:r>
        <w:t xml:space="preserve"> lists exactly what that mode needs,
each marked </w:t>
      </w:r>
      <w:r>
        <w:rPr>
          <w:b/>
          <w:bCs/>
        </w:rPr>
        <w:t xml:space="preserve">Application</w:t>
      </w:r>
      <w:r>
        <w:t xml:space="preserve"> or </w:t>
      </w:r>
      <w:r>
        <w:rPr>
          <w:b/>
          <w:bCs/>
        </w:rPr>
        <w:t xml:space="preserve">Delegated</w:t>
      </w:r>
      <w:r>
        <w:t xml:space="preserve"> — which is the kind of permission to add
in Entra ID, not a detail you can ignore. Use the </w:t>
      </w:r>
      <w:r>
        <w:rPr>
          <w:b/>
          <w:bCs/>
        </w:rPr>
        <w:t xml:space="preserve">Copy</w:t>
      </w:r>
      <w:r>
        <w:t xml:space="preserve"> button and send the list to
whoever owns the app registration.</w:t>
      </w:r>
    </w:p>
    <w:p>
      <w:pPr>
        <w:spacing w:after="160"/>
      </w:pPr>
      <w:r>
        <w:t xml:space="preserve">For the application family:</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188"/>
        <w:gridCol w:w="5835"/>
        <w:gridCol w:w="1337"/>
      </w:tblGrid>
      <w:tr>
        <w:trPr>
          <w:cantSplit/>
          <w:tblHeader/>
        </w:trPr>
        <w:tc>
          <w:tcPr>
            <w:tcW w:type="dxa" w:w="2188"/>
            <w:shd w:fill="F5F5F7" w:val="clear"/>
          </w:tcPr>
          <w:p>
            <w:pPr>
              <w:spacing w:after="0"/>
            </w:pPr>
            <w:r>
              <w:rPr>
                <w:b/>
                <w:bCs/>
              </w:rPr>
              <w:t xml:space="preserve">Mode</w:t>
            </w:r>
          </w:p>
        </w:tc>
        <w:tc>
          <w:tcPr>
            <w:tcW w:type="dxa" w:w="5835"/>
            <w:shd w:fill="F5F5F7" w:val="clear"/>
          </w:tcPr>
          <w:p>
            <w:pPr>
              <w:spacing w:after="0"/>
            </w:pPr>
            <w:r>
              <w:rPr>
                <w:b/>
                <w:bCs/>
              </w:rPr>
              <w:t xml:space="preserve">Permission</w:t>
            </w:r>
          </w:p>
        </w:tc>
        <w:tc>
          <w:tcPr>
            <w:tcW w:type="dxa" w:w="1337"/>
            <w:shd w:fill="F5F5F7" w:val="clear"/>
          </w:tcPr>
          <w:p>
            <w:pPr>
              <w:spacing w:after="0"/>
            </w:pPr>
            <w:r>
              <w:rPr>
                <w:b/>
                <w:bCs/>
              </w:rPr>
              <w:t xml:space="preserve">Type</w:t>
            </w:r>
          </w:p>
        </w:tc>
      </w:tr>
      <w:tr>
        <w:trPr>
          <w:cantSplit/>
        </w:trPr>
        <w:tc>
          <w:tcPr>
            <w:tcW w:type="dxa" w:w="2188"/>
          </w:tcPr>
          <w:p>
            <w:pPr>
              <w:spacing w:after="0"/>
            </w:pPr>
            <w:r>
              <w:t xml:space="preserve">Complete mode</w:t>
            </w:r>
          </w:p>
        </w:tc>
        <w:tc>
          <w:tcPr>
            <w:tcW w:type="dxa" w:w="5835"/>
          </w:tcPr>
          <w:p>
            <w:pPr>
              <w:spacing w:after="0"/>
            </w:pPr>
            <w:r>
              <w:rPr>
                <w:rFonts w:ascii="Consolas" w:cs="Consolas" w:eastAsia="Consolas" w:hAnsi="Consolas"/>
                <w:sz w:val="20"/>
                <w:szCs w:val="20"/>
                <w:shd w:fill="F5F5F7" w:val="clear"/>
              </w:rPr>
              <w:t xml:space="preserve">Calendars.ReadWrite</w:t>
            </w:r>
          </w:p>
        </w:tc>
        <w:tc>
          <w:tcPr>
            <w:tcW w:type="dxa" w:w="1337"/>
          </w:tcPr>
          <w:p>
            <w:pPr>
              <w:spacing w:after="0"/>
            </w:pPr>
            <w:r>
              <w:t xml:space="preserve">Application</w:t>
            </w:r>
          </w:p>
        </w:tc>
      </w:tr>
      <w:tr>
        <w:trPr>
          <w:cantSplit/>
        </w:trPr>
        <w:tc>
          <w:tcPr>
            <w:tcW w:type="dxa" w:w="2188"/>
          </w:tcPr>
          <w:p>
            <w:pPr>
              <w:spacing w:after="0"/>
            </w:pPr>
          </w:p>
        </w:tc>
        <w:tc>
          <w:tcPr>
            <w:tcW w:type="dxa" w:w="5835"/>
          </w:tcPr>
          <w:p>
            <w:pPr>
              <w:spacing w:after="0"/>
            </w:pPr>
            <w:r>
              <w:rPr>
                <w:rFonts w:ascii="Consolas" w:cs="Consolas" w:eastAsia="Consolas" w:hAnsi="Consolas"/>
                <w:sz w:val="20"/>
                <w:szCs w:val="20"/>
                <w:shd w:fill="F5F5F7" w:val="clear"/>
              </w:rPr>
              <w:t xml:space="preserve">Place.Read.All</w:t>
            </w:r>
          </w:p>
        </w:tc>
        <w:tc>
          <w:tcPr>
            <w:tcW w:type="dxa" w:w="1337"/>
          </w:tcPr>
          <w:p>
            <w:pPr>
              <w:spacing w:after="0"/>
            </w:pPr>
            <w:r>
              <w:t xml:space="preserve">Application</w:t>
            </w:r>
          </w:p>
        </w:tc>
      </w:tr>
      <w:tr>
        <w:trPr>
          <w:cantSplit/>
        </w:trPr>
        <w:tc>
          <w:tcPr>
            <w:tcW w:type="dxa" w:w="2188"/>
          </w:tcPr>
          <w:p>
            <w:pPr>
              <w:spacing w:after="0"/>
            </w:pPr>
          </w:p>
        </w:tc>
        <w:tc>
          <w:tcPr>
            <w:tcW w:type="dxa" w:w="5835"/>
          </w:tcPr>
          <w:p>
            <w:pPr>
              <w:spacing w:after="0"/>
            </w:pPr>
            <w:r>
              <w:rPr>
                <w:rFonts w:ascii="Consolas" w:cs="Consolas" w:eastAsia="Consolas" w:hAnsi="Consolas"/>
                <w:sz w:val="20"/>
                <w:szCs w:val="20"/>
                <w:shd w:fill="F5F5F7" w:val="clear"/>
              </w:rPr>
              <w:t xml:space="preserve">User.Read.All</w:t>
            </w:r>
          </w:p>
        </w:tc>
        <w:tc>
          <w:tcPr>
            <w:tcW w:type="dxa" w:w="1337"/>
          </w:tcPr>
          <w:p>
            <w:pPr>
              <w:spacing w:after="0"/>
            </w:pPr>
            <w:r>
              <w:t xml:space="preserve">Application</w:t>
            </w:r>
          </w:p>
        </w:tc>
      </w:tr>
      <w:tr>
        <w:trPr>
          <w:cantSplit/>
        </w:trPr>
        <w:tc>
          <w:tcPr>
            <w:tcW w:type="dxa" w:w="2188"/>
          </w:tcPr>
          <w:p>
            <w:pPr>
              <w:spacing w:after="0"/>
            </w:pPr>
          </w:p>
        </w:tc>
        <w:tc>
          <w:tcPr>
            <w:tcW w:type="dxa" w:w="5835"/>
          </w:tcPr>
          <w:p>
            <w:pPr>
              <w:spacing w:after="0"/>
            </w:pPr>
            <w:r>
              <w:rPr>
                <w:rFonts w:ascii="Consolas" w:cs="Consolas" w:eastAsia="Consolas" w:hAnsi="Consolas"/>
                <w:sz w:val="20"/>
                <w:szCs w:val="20"/>
                <w:shd w:fill="F5F5F7" w:val="clear"/>
              </w:rPr>
              <w:t xml:space="preserve">Group.Read.All</w:t>
            </w:r>
          </w:p>
        </w:tc>
        <w:tc>
          <w:tcPr>
            <w:tcW w:type="dxa" w:w="1337"/>
          </w:tcPr>
          <w:p>
            <w:pPr>
              <w:spacing w:after="0"/>
            </w:pPr>
            <w:r>
              <w:t xml:space="preserve">Application</w:t>
            </w:r>
          </w:p>
        </w:tc>
      </w:tr>
      <w:tr>
        <w:trPr>
          <w:cantSplit/>
        </w:trPr>
        <w:tc>
          <w:tcPr>
            <w:tcW w:type="dxa" w:w="2188"/>
          </w:tcPr>
          <w:p>
            <w:pPr>
              <w:spacing w:after="0"/>
            </w:pPr>
          </w:p>
        </w:tc>
        <w:tc>
          <w:tcPr>
            <w:tcW w:type="dxa" w:w="5835"/>
          </w:tcPr>
          <w:p>
            <w:pPr>
              <w:spacing w:after="0"/>
            </w:pPr>
            <w:r>
              <w:rPr>
                <w:rFonts w:ascii="Consolas" w:cs="Consolas" w:eastAsia="Consolas" w:hAnsi="Consolas"/>
                <w:sz w:val="20"/>
                <w:szCs w:val="20"/>
                <w:shd w:fill="F5F5F7" w:val="clear"/>
              </w:rPr>
              <w:t xml:space="preserve">openId</w:t>
            </w:r>
            <w:r>
              <w:t xml:space="preserve">, </w:t>
            </w:r>
            <w:r>
              <w:rPr>
                <w:rFonts w:ascii="Consolas" w:cs="Consolas" w:eastAsia="Consolas" w:hAnsi="Consolas"/>
                <w:sz w:val="20"/>
                <w:szCs w:val="20"/>
                <w:shd w:fill="F5F5F7" w:val="clear"/>
              </w:rPr>
              <w:t xml:space="preserve">offline_access</w:t>
            </w:r>
            <w:r>
              <w:t xml:space="preserve">, </w:t>
            </w:r>
            <w:r>
              <w:rPr>
                <w:rFonts w:ascii="Consolas" w:cs="Consolas" w:eastAsia="Consolas" w:hAnsi="Consolas"/>
                <w:sz w:val="20"/>
                <w:szCs w:val="20"/>
                <w:shd w:fill="F5F5F7" w:val="clear"/>
              </w:rPr>
              <w:t xml:space="preserve">email</w:t>
            </w:r>
            <w:r>
              <w:t xml:space="preserve">, </w:t>
            </w:r>
            <w:r>
              <w:rPr>
                <w:rFonts w:ascii="Consolas" w:cs="Consolas" w:eastAsia="Consolas" w:hAnsi="Consolas"/>
                <w:sz w:val="20"/>
                <w:szCs w:val="20"/>
                <w:shd w:fill="F5F5F7" w:val="clear"/>
              </w:rPr>
              <w:t xml:space="preserve">User.Read</w:t>
            </w:r>
          </w:p>
        </w:tc>
        <w:tc>
          <w:tcPr>
            <w:tcW w:type="dxa" w:w="1337"/>
          </w:tcPr>
          <w:p>
            <w:pPr>
              <w:spacing w:after="0"/>
            </w:pPr>
            <w:r>
              <w:t xml:space="preserve">Delegated</w:t>
            </w:r>
          </w:p>
        </w:tc>
      </w:tr>
      <w:tr>
        <w:trPr>
          <w:cantSplit/>
        </w:trPr>
        <w:tc>
          <w:tcPr>
            <w:tcW w:type="dxa" w:w="2188"/>
          </w:tcPr>
          <w:p>
            <w:pPr>
              <w:spacing w:after="0"/>
            </w:pPr>
            <w:r>
              <w:t xml:space="preserve">Resource only mode</w:t>
            </w:r>
          </w:p>
        </w:tc>
        <w:tc>
          <w:tcPr>
            <w:tcW w:type="dxa" w:w="5835"/>
          </w:tcPr>
          <w:p>
            <w:pPr>
              <w:spacing w:after="0"/>
            </w:pPr>
            <w:r>
              <w:rPr>
                <w:rFonts w:ascii="Consolas" w:cs="Consolas" w:eastAsia="Consolas" w:hAnsi="Consolas"/>
                <w:sz w:val="20"/>
                <w:szCs w:val="20"/>
                <w:shd w:fill="F5F5F7" w:val="clear"/>
              </w:rPr>
              <w:t xml:space="preserve">Calendars.ReadWrite</w:t>
            </w:r>
          </w:p>
        </w:tc>
        <w:tc>
          <w:tcPr>
            <w:tcW w:type="dxa" w:w="1337"/>
          </w:tcPr>
          <w:p>
            <w:pPr>
              <w:spacing w:after="0"/>
            </w:pPr>
            <w:r>
              <w:t xml:space="preserve">Application</w:t>
            </w:r>
          </w:p>
        </w:tc>
      </w:tr>
      <w:tr>
        <w:trPr>
          <w:cantSplit/>
        </w:trPr>
        <w:tc>
          <w:tcPr>
            <w:tcW w:type="dxa" w:w="2188"/>
          </w:tcPr>
          <w:p>
            <w:pPr>
              <w:spacing w:after="0"/>
            </w:pPr>
          </w:p>
        </w:tc>
        <w:tc>
          <w:tcPr>
            <w:tcW w:type="dxa" w:w="5835"/>
          </w:tcPr>
          <w:p>
            <w:pPr>
              <w:spacing w:after="0"/>
            </w:pPr>
            <w:r>
              <w:rPr>
                <w:rFonts w:ascii="Consolas" w:cs="Consolas" w:eastAsia="Consolas" w:hAnsi="Consolas"/>
                <w:sz w:val="20"/>
                <w:szCs w:val="20"/>
                <w:shd w:fill="F5F5F7" w:val="clear"/>
              </w:rPr>
              <w:t xml:space="preserve">Place.Read.All</w:t>
            </w:r>
          </w:p>
        </w:tc>
        <w:tc>
          <w:tcPr>
            <w:tcW w:type="dxa" w:w="1337"/>
          </w:tcPr>
          <w:p>
            <w:pPr>
              <w:spacing w:after="0"/>
            </w:pPr>
            <w:r>
              <w:t xml:space="preserve">Application</w:t>
            </w:r>
          </w:p>
        </w:tc>
      </w:tr>
      <w:tr>
        <w:trPr>
          <w:cantSplit/>
        </w:trPr>
        <w:tc>
          <w:tcPr>
            <w:tcW w:type="dxa" w:w="2188"/>
          </w:tcPr>
          <w:p>
            <w:pPr>
              <w:spacing w:after="0"/>
            </w:pPr>
          </w:p>
        </w:tc>
        <w:tc>
          <w:tcPr>
            <w:tcW w:type="dxa" w:w="5835"/>
          </w:tcPr>
          <w:p>
            <w:pPr>
              <w:spacing w:after="0"/>
            </w:pPr>
            <w:r>
              <w:rPr>
                <w:rFonts w:ascii="Consolas" w:cs="Consolas" w:eastAsia="Consolas" w:hAnsi="Consolas"/>
                <w:sz w:val="20"/>
                <w:szCs w:val="20"/>
                <w:shd w:fill="F5F5F7" w:val="clear"/>
              </w:rPr>
              <w:t xml:space="preserve">User.Read.All</w:t>
            </w:r>
            <w:r>
              <w:t xml:space="preserve"> (optional)</w:t>
            </w:r>
          </w:p>
        </w:tc>
        <w:tc>
          <w:tcPr>
            <w:tcW w:type="dxa" w:w="1337"/>
          </w:tcPr>
          <w:p>
            <w:pPr>
              <w:spacing w:after="0"/>
            </w:pPr>
            <w:r>
              <w:t xml:space="preserve">Application</w:t>
            </w:r>
          </w:p>
        </w:tc>
      </w:tr>
    </w:tbl>
    <w:p>
      <w:pPr>
        <w:spacing w:after="0"/>
      </w:pPr>
    </w:p>
    <w:p>
      <w:pPr>
        <w:spacing w:after="160"/>
      </w:pPr>
      <w:r>
        <w:t xml:space="preserve">For the delegated family:</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823"/>
        <w:gridCol w:w="4903"/>
        <w:gridCol w:w="1634"/>
      </w:tblGrid>
      <w:tr>
        <w:trPr>
          <w:cantSplit/>
          <w:tblHeader/>
        </w:trPr>
        <w:tc>
          <w:tcPr>
            <w:tcW w:type="dxa" w:w="2823"/>
            <w:shd w:fill="F5F5F7" w:val="clear"/>
          </w:tcPr>
          <w:p>
            <w:pPr>
              <w:spacing w:after="0"/>
            </w:pPr>
            <w:r>
              <w:rPr>
                <w:b/>
                <w:bCs/>
              </w:rPr>
              <w:t xml:space="preserve">Mode</w:t>
            </w:r>
          </w:p>
        </w:tc>
        <w:tc>
          <w:tcPr>
            <w:tcW w:type="dxa" w:w="4903"/>
            <w:shd w:fill="F5F5F7" w:val="clear"/>
          </w:tcPr>
          <w:p>
            <w:pPr>
              <w:spacing w:after="0"/>
            </w:pPr>
            <w:r>
              <w:rPr>
                <w:b/>
                <w:bCs/>
              </w:rPr>
              <w:t xml:space="preserve">Permission</w:t>
            </w:r>
          </w:p>
        </w:tc>
        <w:tc>
          <w:tcPr>
            <w:tcW w:type="dxa" w:w="1634"/>
            <w:shd w:fill="F5F5F7" w:val="clear"/>
          </w:tcPr>
          <w:p>
            <w:pPr>
              <w:spacing w:after="0"/>
            </w:pPr>
            <w:r>
              <w:rPr>
                <w:b/>
                <w:bCs/>
              </w:rPr>
              <w:t xml:space="preserve">Type</w:t>
            </w:r>
          </w:p>
        </w:tc>
      </w:tr>
      <w:tr>
        <w:trPr>
          <w:cantSplit/>
        </w:trPr>
        <w:tc>
          <w:tcPr>
            <w:tcW w:type="dxa" w:w="2823"/>
          </w:tcPr>
          <w:p>
            <w:pPr>
              <w:spacing w:after="0"/>
            </w:pPr>
            <w:r>
              <w:t xml:space="preserve">All delegated modes</w:t>
            </w:r>
          </w:p>
        </w:tc>
        <w:tc>
          <w:tcPr>
            <w:tcW w:type="dxa" w:w="4903"/>
          </w:tcPr>
          <w:p>
            <w:pPr>
              <w:spacing w:after="0"/>
            </w:pPr>
            <w:r>
              <w:rPr>
                <w:rFonts w:ascii="Consolas" w:cs="Consolas" w:eastAsia="Consolas" w:hAnsi="Consolas"/>
                <w:sz w:val="20"/>
                <w:szCs w:val="20"/>
                <w:shd w:fill="F5F5F7" w:val="clear"/>
              </w:rPr>
              <w:t xml:space="preserve">Calendar.ReadWrite.Shared</w:t>
            </w:r>
          </w:p>
        </w:tc>
        <w:tc>
          <w:tcPr>
            <w:tcW w:type="dxa" w:w="1634"/>
          </w:tcPr>
          <w:p>
            <w:pPr>
              <w:spacing w:after="0"/>
            </w:pPr>
            <w:r>
              <w:t xml:space="preserve">Delegated</w:t>
            </w:r>
          </w:p>
        </w:tc>
      </w:tr>
      <w:tr>
        <w:trPr>
          <w:cantSplit/>
        </w:trPr>
        <w:tc>
          <w:tcPr>
            <w:tcW w:type="dxa" w:w="2823"/>
          </w:tcPr>
          <w:p>
            <w:pPr>
              <w:spacing w:after="0"/>
            </w:pPr>
          </w:p>
        </w:tc>
        <w:tc>
          <w:tcPr>
            <w:tcW w:type="dxa" w:w="4903"/>
          </w:tcPr>
          <w:p>
            <w:pPr>
              <w:spacing w:after="0"/>
            </w:pPr>
            <w:r>
              <w:rPr>
                <w:rFonts w:ascii="Consolas" w:cs="Consolas" w:eastAsia="Consolas" w:hAnsi="Consolas"/>
                <w:sz w:val="20"/>
                <w:szCs w:val="20"/>
                <w:shd w:fill="F5F5F7" w:val="clear"/>
              </w:rPr>
              <w:t xml:space="preserve">openId</w:t>
            </w:r>
            <w:r>
              <w:t xml:space="preserve">, </w:t>
            </w:r>
            <w:r>
              <w:rPr>
                <w:rFonts w:ascii="Consolas" w:cs="Consolas" w:eastAsia="Consolas" w:hAnsi="Consolas"/>
                <w:sz w:val="20"/>
                <w:szCs w:val="20"/>
                <w:shd w:fill="F5F5F7" w:val="clear"/>
              </w:rPr>
              <w:t xml:space="preserve">offline_access</w:t>
            </w:r>
          </w:p>
        </w:tc>
        <w:tc>
          <w:tcPr>
            <w:tcW w:type="dxa" w:w="1634"/>
          </w:tcPr>
          <w:p>
            <w:pPr>
              <w:spacing w:after="0"/>
            </w:pPr>
            <w:r>
              <w:t xml:space="preserve">Delegated</w:t>
            </w:r>
          </w:p>
        </w:tc>
      </w:tr>
      <w:tr>
        <w:trPr>
          <w:cantSplit/>
        </w:trPr>
        <w:tc>
          <w:tcPr>
            <w:tcW w:type="dxa" w:w="2823"/>
          </w:tcPr>
          <w:p>
            <w:pPr>
              <w:spacing w:after="0"/>
            </w:pPr>
            <w:r>
              <w:t xml:space="preserve">Complete mode also</w:t>
            </w:r>
          </w:p>
        </w:tc>
        <w:tc>
          <w:tcPr>
            <w:tcW w:type="dxa" w:w="4903"/>
          </w:tcPr>
          <w:p>
            <w:pPr>
              <w:spacing w:after="0"/>
            </w:pPr>
            <w:r>
              <w:rPr>
                <w:rFonts w:ascii="Consolas" w:cs="Consolas" w:eastAsia="Consolas" w:hAnsi="Consolas"/>
                <w:sz w:val="20"/>
                <w:szCs w:val="20"/>
                <w:shd w:fill="F5F5F7" w:val="clear"/>
              </w:rPr>
              <w:t xml:space="preserve">User.Read.All</w:t>
            </w:r>
            <w:r>
              <w:t xml:space="preserve">, </w:t>
            </w:r>
            <w:r>
              <w:rPr>
                <w:rFonts w:ascii="Consolas" w:cs="Consolas" w:eastAsia="Consolas" w:hAnsi="Consolas"/>
                <w:sz w:val="20"/>
                <w:szCs w:val="20"/>
                <w:shd w:fill="F5F5F7" w:val="clear"/>
              </w:rPr>
              <w:t xml:space="preserve">Group.Read.All</w:t>
            </w:r>
          </w:p>
        </w:tc>
        <w:tc>
          <w:tcPr>
            <w:tcW w:type="dxa" w:w="1634"/>
          </w:tcPr>
          <w:p>
            <w:pPr>
              <w:spacing w:after="0"/>
            </w:pPr>
            <w:r>
              <w:t xml:space="preserve">Application</w:t>
            </w:r>
          </w:p>
        </w:tc>
      </w:tr>
    </w:tbl>
    <w:p>
      <w:pPr>
        <w:spacing w:after="0"/>
      </w:pPr>
    </w:p>
    <w:p>
      <w:pPr>
        <w:spacing w:after="160"/>
      </w:pPr>
      <w:r>
        <w:rPr>
          <w:b/>
          <w:bCs/>
        </w:rPr>
        <w:t xml:space="preserve">Note:</w:t>
      </w:r>
      <w:r>
        <w:t xml:space="preserve">
Complete mode in the delegated column still needs two </w:t>
      </w:r>
      <w:r>
        <w:rPr>
          <w:b/>
          <w:bCs/>
        </w:rPr>
        <w:t xml:space="preserve">application</w:t>
      </w:r>
      <w:r>
        <w:t xml:space="preserve"> permissions.
People sync always runs as the application, never as the signed-in account — so a
delegated Complete mode that was granted only delegated permissions will sign people
in correctly and then fail to sync anyone.</w:t>
      </w:r>
    </w:p>
    <w:p>
      <w:pPr>
        <w:spacing w:after="160"/>
      </w:pPr>
      <w:r>
        <w:t xml:space="preserve">Grant admin consent for the permissions in Entra ID. Adding them is not the same as
consenting to them, and a registration with permissions listed but not consented
behaves exactly like one with no permissions at all.</w:t>
      </w:r>
    </w:p>
    <w:p>
      <w:pPr>
        <w:pStyle w:val="Heading2"/>
      </w:pPr>
      <w:r>
        <w:t xml:space="preserve">4. Enter the credentials</w:t>
      </w:r>
    </w:p>
    <w:p>
      <w:pPr>
        <w:spacing w:after="160"/>
      </w:pPr>
      <w:r>
        <w:t xml:space="preserve">Move to </w:t>
      </w:r>
      <w:r>
        <w:rPr>
          <w:b/>
          <w:bCs/>
        </w:rPr>
        <w:t xml:space="preserve">Credentials</w:t>
      </w:r>
      <w:r>
        <w:t xml:space="preserve"> and fill in:</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386"/>
        <w:gridCol w:w="5974"/>
      </w:tblGrid>
      <w:tr>
        <w:trPr>
          <w:cantSplit/>
          <w:tblHeader/>
        </w:trPr>
        <w:tc>
          <w:tcPr>
            <w:tcW w:type="dxa" w:w="3386"/>
            <w:shd w:fill="F5F5F7" w:val="clear"/>
          </w:tcPr>
          <w:p>
            <w:pPr>
              <w:spacing w:after="0"/>
            </w:pPr>
            <w:r>
              <w:rPr>
                <w:b/>
                <w:bCs/>
              </w:rPr>
              <w:t xml:space="preserve">Field</w:t>
            </w:r>
          </w:p>
        </w:tc>
        <w:tc>
          <w:tcPr>
            <w:tcW w:type="dxa" w:w="5974"/>
            <w:shd w:fill="F5F5F7" w:val="clear"/>
          </w:tcPr>
          <w:p>
            <w:pPr>
              <w:spacing w:after="0"/>
            </w:pPr>
            <w:r>
              <w:rPr>
                <w:b/>
                <w:bCs/>
              </w:rPr>
              <w:t xml:space="preserve">Where it comes from</w:t>
            </w:r>
          </w:p>
        </w:tc>
      </w:tr>
      <w:tr>
        <w:trPr>
          <w:cantSplit/>
        </w:trPr>
        <w:tc>
          <w:tcPr>
            <w:tcW w:type="dxa" w:w="3386"/>
          </w:tcPr>
          <w:p>
            <w:pPr>
              <w:spacing w:after="0"/>
            </w:pPr>
            <w:r>
              <w:rPr>
                <w:b/>
                <w:bCs/>
              </w:rPr>
              <w:t xml:space="preserve">Microsoft 365 service operator</w:t>
            </w:r>
          </w:p>
        </w:tc>
        <w:tc>
          <w:tcPr>
            <w:tcW w:type="dxa" w:w="5974"/>
          </w:tcPr>
          <w:p>
            <w:pPr>
              <w:spacing w:after="0"/>
            </w:pPr>
            <w:r>
              <w:rPr>
                <w:b/>
                <w:bCs/>
              </w:rPr>
              <w:t xml:space="preserve">Microsoft</w:t>
            </w:r>
            <w:r>
              <w:t xml:space="preserve">, or </w:t>
            </w:r>
            <w:r>
              <w:rPr>
                <w:b/>
                <w:bCs/>
              </w:rPr>
              <w:t xml:space="preserve">21Vianet</w:t>
            </w:r>
            <w:r>
              <w:t xml:space="preserve"> if that is who operates your Microsoft 365</w:t>
            </w:r>
          </w:p>
        </w:tc>
      </w:tr>
      <w:tr>
        <w:trPr>
          <w:cantSplit/>
        </w:trPr>
        <w:tc>
          <w:tcPr>
            <w:tcW w:type="dxa" w:w="3386"/>
          </w:tcPr>
          <w:p>
            <w:pPr>
              <w:spacing w:after="0"/>
            </w:pPr>
            <w:r>
              <w:rPr>
                <w:b/>
                <w:bCs/>
              </w:rPr>
              <w:t xml:space="preserve">Directory (tenant) ID</w:t>
            </w:r>
          </w:p>
        </w:tc>
        <w:tc>
          <w:tcPr>
            <w:tcW w:type="dxa" w:w="5974"/>
          </w:tcPr>
          <w:p>
            <w:pPr>
              <w:spacing w:after="0"/>
            </w:pPr>
            <w:r>
              <w:t xml:space="preserve">The registration's overview page. It must be a GUID</w:t>
            </w:r>
          </w:p>
        </w:tc>
      </w:tr>
      <w:tr>
        <w:trPr>
          <w:cantSplit/>
        </w:trPr>
        <w:tc>
          <w:tcPr>
            <w:tcW w:type="dxa" w:w="3386"/>
          </w:tcPr>
          <w:p>
            <w:pPr>
              <w:spacing w:after="0"/>
            </w:pPr>
            <w:r>
              <w:rPr>
                <w:b/>
                <w:bCs/>
              </w:rPr>
              <w:t xml:space="preserve">Application (client) ID</w:t>
            </w:r>
          </w:p>
        </w:tc>
        <w:tc>
          <w:tcPr>
            <w:tcW w:type="dxa" w:w="5974"/>
          </w:tcPr>
          <w:p>
            <w:pPr>
              <w:spacing w:after="0"/>
            </w:pPr>
            <w:r>
              <w:t xml:space="preserve">The registration's overview page</w:t>
            </w:r>
          </w:p>
        </w:tc>
      </w:tr>
      <w:tr>
        <w:trPr>
          <w:cantSplit/>
        </w:trPr>
        <w:tc>
          <w:tcPr>
            <w:tcW w:type="dxa" w:w="3386"/>
          </w:tcPr>
          <w:p>
            <w:pPr>
              <w:spacing w:after="0"/>
            </w:pPr>
            <w:r>
              <w:rPr>
                <w:b/>
                <w:bCs/>
              </w:rPr>
              <w:t xml:space="preserve">Client secret (Value)</w:t>
            </w:r>
          </w:p>
        </w:tc>
        <w:tc>
          <w:tcPr>
            <w:tcW w:type="dxa" w:w="5974"/>
          </w:tcPr>
          <w:p>
            <w:pPr>
              <w:spacing w:after="0"/>
            </w:pPr>
            <w:r>
              <w:t xml:space="preserve">The </w:t>
            </w:r>
            <w:r>
              <w:rPr>
                <w:i/>
                <w:iCs/>
              </w:rPr>
              <w:t xml:space="preserve">value</w:t>
            </w:r>
            <w:r>
              <w:t xml:space="preserve"> of the secret, not its ID</w:t>
            </w:r>
          </w:p>
        </w:tc>
      </w:tr>
    </w:tbl>
    <w:p>
      <w:pPr>
        <w:spacing w:after="0"/>
      </w:pPr>
    </w:p>
    <w:p>
      <w:pPr>
        <w:spacing w:after="160"/>
      </w:pPr>
      <w:r>
        <w:t xml:space="preserve">Then copy the two redirect URIs Offision shows and add them to the app registration.
Sign-in will fail later if they are missing, and the failure looks like a bad password
rather than a missing URI.</w:t>
      </w:r>
    </w:p>
    <w:p>
      <w:pPr>
        <w:spacing w:after="60" w:before="160"/>
        <w:jc w:val="center"/>
      </w:pPr>
      <w:r>
        <w:drawing>
          <wp:inline distT="0" distB="0" distL="0" distR="0">
            <wp:extent cx="5715000" cy="4629150"/>
            <wp:effectExtent t="0" r="0" b="0" l="0"/>
            <wp:docPr id="1" name="m365-customize-credentials" descr="The credentials step, with the redirect URIs to add in Entra ID." title="The credentials step, with the redirect URIs to add in Entra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credentials step, with the redirect URIs to add in Entra ID.</w:t>
      </w:r>
    </w:p>
    <w:p>
      <w:pPr>
        <w:pStyle w:val="Heading2"/>
      </w:pPr>
      <w:r>
        <w:t xml:space="preserve">5. Test the connection</w:t>
      </w:r>
    </w:p>
    <w:p>
      <w:pPr>
        <w:spacing w:after="160"/>
      </w:pPr>
      <w:r>
        <w:t xml:space="preserve">On an application-family mode, use </w:t>
      </w:r>
      <w:r>
        <w:rPr>
          <w:b/>
          <w:bCs/>
        </w:rPr>
        <w:t xml:space="preserve">Test connection</w:t>
      </w:r>
      <w:r>
        <w:t xml:space="preserve"> before saving. A green result
means Offision could actually get a token with your credentials — which is a much
better place to find a typo than three screens later.</w:t>
      </w:r>
    </w:p>
    <w:p>
      <w:pPr>
        <w:spacing w:after="160"/>
      </w:pPr>
      <w:r>
        <w:t xml:space="preserve">On a delegated mode there is no </w:t>
      </w:r>
      <w:r>
        <w:rPr>
          <w:b/>
          <w:bCs/>
        </w:rPr>
        <w:t xml:space="preserve">Test connection</w:t>
      </w:r>
      <w:r>
        <w:t xml:space="preserve"> button, because nothing has signed
in yet and there is no token to test. Its absence is expected.</w:t>
      </w:r>
    </w:p>
    <w:p>
      <w:pPr>
        <w:spacing w:after="160"/>
      </w:pPr>
      <w:r>
        <w:t xml:space="preserve">Save, then set up </w:t>
      </w:r>
      <w:hyperlink w:history="1" r:id="rIdtyqvh-4rtbbme4sxeprcd">
        <w:r>
          <w:rPr>
            <w:rStyle w:val="Hyperlink"/>
          </w:rPr>
          <w:t xml:space="preserve">rooms</w:t>
        </w:r>
      </w:hyperlink>
      <w:r>
        <w:t xml:space="preserve">,
</w:t>
      </w:r>
      <w:hyperlink w:history="1" r:id="rId5lq0cdwjtg68piox9yee5">
        <w:r>
          <w:rPr>
            <w:rStyle w:val="Hyperlink"/>
          </w:rPr>
          <w:t xml:space="preserve">people</w:t>
        </w:r>
      </w:hyperlink>
      <w:r>
        <w:t xml:space="preserve"> and
</w:t>
      </w:r>
      <w:hyperlink w:history="1" r:id="rIdmeuf7olrrpfimprshq6st">
        <w:r>
          <w:rPr>
            <w:rStyle w:val="Hyperlink"/>
          </w:rPr>
          <w:t xml:space="preserve">sign-in</w:t>
        </w:r>
      </w:hyperlink>
      <w:r>
        <w:t xml:space="preserve">.</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519"/>
        <w:gridCol w:w="4841"/>
      </w:tblGrid>
      <w:tr>
        <w:trPr>
          <w:cantSplit/>
          <w:tblHeader/>
        </w:trPr>
        <w:tc>
          <w:tcPr>
            <w:tcW w:type="dxa" w:w="4519"/>
            <w:shd w:fill="F5F5F7" w:val="clear"/>
          </w:tcPr>
          <w:p>
            <w:pPr>
              <w:spacing w:after="0"/>
            </w:pPr>
            <w:r>
              <w:rPr>
                <w:b/>
                <w:bCs/>
              </w:rPr>
              <w:t xml:space="preserve">What you see</w:t>
            </w:r>
          </w:p>
        </w:tc>
        <w:tc>
          <w:tcPr>
            <w:tcW w:type="dxa" w:w="4841"/>
            <w:shd w:fill="F5F5F7" w:val="clear"/>
          </w:tcPr>
          <w:p>
            <w:pPr>
              <w:spacing w:after="0"/>
            </w:pPr>
            <w:r>
              <w:rPr>
                <w:b/>
                <w:bCs/>
              </w:rPr>
              <w:t xml:space="preserve">Usual cause</w:t>
            </w:r>
          </w:p>
        </w:tc>
      </w:tr>
      <w:tr>
        <w:trPr>
          <w:cantSplit/>
        </w:trPr>
        <w:tc>
          <w:tcPr>
            <w:tcW w:type="dxa" w:w="4519"/>
          </w:tcPr>
          <w:p>
            <w:pPr>
              <w:spacing w:after="0"/>
            </w:pPr>
            <w:r>
              <w:t xml:space="preserve">Connection failed, please check the information provided</w:t>
            </w:r>
          </w:p>
        </w:tc>
        <w:tc>
          <w:tcPr>
            <w:tcW w:type="dxa" w:w="4841"/>
          </w:tcPr>
          <w:p>
            <w:pPr>
              <w:spacing w:after="0"/>
            </w:pPr>
            <w:r>
              <w:t xml:space="preserve">Wrong tenant or client ID, a secret that has expired, or the secret's ID pasted instead of its value</w:t>
            </w:r>
          </w:p>
        </w:tc>
      </w:tr>
      <w:tr>
        <w:trPr>
          <w:cantSplit/>
        </w:trPr>
        <w:tc>
          <w:tcPr>
            <w:tcW w:type="dxa" w:w="4519"/>
          </w:tcPr>
          <w:p>
            <w:pPr>
              <w:spacing w:after="0"/>
            </w:pPr>
            <w:r>
              <w:t xml:space="preserve">Connection failed although the credentials are right</w:t>
            </w:r>
          </w:p>
        </w:tc>
        <w:tc>
          <w:tcPr>
            <w:tcW w:type="dxa" w:w="4841"/>
          </w:tcPr>
          <w:p>
            <w:pPr>
              <w:spacing w:after="0"/>
            </w:pPr>
            <w:r>
              <w:t xml:space="preserve">The permissions were added in Entra ID but admin consent was never granted</w:t>
            </w:r>
          </w:p>
        </w:tc>
      </w:tr>
      <w:tr>
        <w:trPr>
          <w:cantSplit/>
        </w:trPr>
        <w:tc>
          <w:tcPr>
            <w:tcW w:type="dxa" w:w="4519"/>
          </w:tcPr>
          <w:p>
            <w:pPr>
              <w:spacing w:after="0"/>
            </w:pPr>
            <w:r>
              <w:t xml:space="preserve">No </w:t>
            </w:r>
            <w:r>
              <w:rPr>
                <w:b/>
                <w:bCs/>
              </w:rPr>
              <w:t xml:space="preserve">Test connection</w:t>
            </w:r>
            <w:r>
              <w:t xml:space="preserve"> button</w:t>
            </w:r>
          </w:p>
        </w:tc>
        <w:tc>
          <w:tcPr>
            <w:tcW w:type="dxa" w:w="4841"/>
          </w:tcPr>
          <w:p>
            <w:pPr>
              <w:spacing w:after="0"/>
            </w:pPr>
            <w:r>
              <w:t xml:space="preserve">A delegated mode is selected — there is nothing to test until an account signs in</w:t>
            </w:r>
          </w:p>
        </w:tc>
      </w:tr>
      <w:tr>
        <w:trPr>
          <w:cantSplit/>
        </w:trPr>
        <w:tc>
          <w:tcPr>
            <w:tcW w:type="dxa" w:w="4519"/>
          </w:tcPr>
          <w:p>
            <w:pPr>
              <w:spacing w:after="0"/>
            </w:pPr>
            <w:r>
              <w:t xml:space="preserve">Sign-in bounces back to the login page</w:t>
            </w:r>
          </w:p>
        </w:tc>
        <w:tc>
          <w:tcPr>
            <w:tcW w:type="dxa" w:w="4841"/>
          </w:tcPr>
          <w:p>
            <w:pPr>
              <w:spacing w:after="0"/>
            </w:pPr>
            <w:r>
              <w:t xml:space="preserve">The redirect URIs are not in the app registration</w:t>
            </w:r>
          </w:p>
        </w:tc>
      </w:tr>
      <w:tr>
        <w:trPr>
          <w:cantSplit/>
        </w:trPr>
        <w:tc>
          <w:tcPr>
            <w:tcW w:type="dxa" w:w="4519"/>
          </w:tcPr>
          <w:p>
            <w:pPr>
              <w:spacing w:after="0"/>
            </w:pPr>
            <w:r>
              <w:t xml:space="preserve">People never sync on delegated Complete mode</w:t>
            </w:r>
          </w:p>
        </w:tc>
        <w:tc>
          <w:tcPr>
            <w:tcW w:type="dxa" w:w="4841"/>
          </w:tcPr>
          <w:p>
            <w:pPr>
              <w:spacing w:after="0"/>
            </w:pPr>
            <w:r>
              <w:rPr>
                <w:rFonts w:ascii="Consolas" w:cs="Consolas" w:eastAsia="Consolas" w:hAnsi="Consolas"/>
                <w:sz w:val="20"/>
                <w:szCs w:val="20"/>
                <w:shd w:fill="F5F5F7" w:val="clear"/>
              </w:rPr>
              <w:t xml:space="preserve">User.Read.All</w:t>
            </w:r>
            <w:r>
              <w:t xml:space="preserve"> and </w:t>
            </w:r>
            <w:r>
              <w:rPr>
                <w:rFonts w:ascii="Consolas" w:cs="Consolas" w:eastAsia="Consolas" w:hAnsi="Consolas"/>
                <w:sz w:val="20"/>
                <w:szCs w:val="20"/>
                <w:shd w:fill="F5F5F7" w:val="clear"/>
              </w:rPr>
              <w:t xml:space="preserve">Group.Read.All</w:t>
            </w:r>
            <w:r>
              <w:t xml:space="preserve"> were granted as delegated rather than application permissions</w:t>
            </w:r>
          </w:p>
        </w:tc>
      </w:tr>
      <w:tr>
        <w:trPr>
          <w:cantSplit/>
        </w:trPr>
        <w:tc>
          <w:tcPr>
            <w:tcW w:type="dxa" w:w="4519"/>
          </w:tcPr>
          <w:p>
            <w:pPr>
              <w:spacing w:after="0"/>
            </w:pPr>
            <w:r>
              <w:t xml:space="preserve">It worked, then stopped months later</w:t>
            </w:r>
          </w:p>
        </w:tc>
        <w:tc>
          <w:tcPr>
            <w:tcW w:type="dxa" w:w="4841"/>
          </w:tcPr>
          <w:p>
            <w:pPr>
              <w:spacing w:after="0"/>
            </w:pPr>
            <w:r>
              <w:t xml:space="preserve">The client secret expired. Create a new one and update the credentials</w:t>
            </w:r>
          </w:p>
        </w:tc>
      </w:tr>
      <w:tr>
        <w:trPr>
          <w:cantSplit/>
        </w:trPr>
        <w:tc>
          <w:tcPr>
            <w:tcW w:type="dxa" w:w="4519"/>
          </w:tcPr>
          <w:p>
            <w:pPr>
              <w:spacing w:after="0"/>
            </w:pPr>
            <w:r>
              <w:t xml:space="preserve">Permissions look right but calls still fail</w:t>
            </w:r>
          </w:p>
        </w:tc>
        <w:tc>
          <w:tcPr>
            <w:tcW w:type="dxa" w:w="4841"/>
          </w:tcPr>
          <w:p>
            <w:pPr>
              <w:spacing w:after="0"/>
            </w:pPr>
            <w:r>
              <w:t xml:space="preserve">Microsoft takes five minutes to two hours to apply a permission change</w:t>
            </w:r>
          </w:p>
        </w:tc>
      </w:tr>
      <w:tr>
        <w:trPr>
          <w:cantSplit/>
        </w:trPr>
        <w:tc>
          <w:tcPr>
            <w:tcW w:type="dxa" w:w="4519"/>
          </w:tcPr>
          <w:p>
            <w:pPr>
              <w:spacing w:after="0"/>
            </w:pPr>
            <w:r>
              <w:t xml:space="preserve">Only the credentials step appears</w:t>
            </w:r>
          </w:p>
        </w:tc>
        <w:tc>
          <w:tcPr>
            <w:tcW w:type="dxa" w:w="4841"/>
          </w:tcPr>
          <w:p>
            <w:pPr>
              <w:spacing w:after="0"/>
            </w:pPr>
            <w:r>
              <w:t xml:space="preserve">Offision Hub, where the mode is fixed</w:t>
            </w:r>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wd6v6wtqki9_mjxakdqg" Type="http://schemas.openxmlformats.org/officeDocument/2006/relationships/hyperlink" Target="https://offision.com/help/en/integrations/connect-microsoft-365-with-your-own-entra-app/" TargetMode="External"/><Relationship Id="rIdsakisibspw4pw1roa57xy" Type="http://schemas.openxmlformats.org/officeDocument/2006/relationships/hyperlink" Target="../connect-microsoft-365-application-mode/" TargetMode="External"/><Relationship Id="rIdaz-60adozwfs8sf-r34hb" Type="http://schemas.openxmlformats.org/officeDocument/2006/relationships/hyperlink" Target="../connect-microsoft-365-delegate-mode/" TargetMode="External"/><Relationship Id="rIdtyqvh-4rtbbme4sxeprcd" Type="http://schemas.openxmlformats.org/officeDocument/2006/relationships/hyperlink" Target="../sync-rooms-from-microsoft-365/" TargetMode="External"/><Relationship Id="rId5lq0cdwjtg68piox9yee5" Type="http://schemas.openxmlformats.org/officeDocument/2006/relationships/hyperlink" Target="../sync-people-from-microsoft-365/" TargetMode="External"/><Relationship Id="rIdmeuf7olrrpfimprshq6st" Type="http://schemas.openxmlformats.org/officeDocument/2006/relationships/hyperlink" Target="../sign-in-with-microsoft-365/" TargetMode="External"/><Relationship Id="rId7" Type="http://schemas.openxmlformats.org/officeDocument/2006/relationships/image" Target="media/64aa52577ccd3e6408f6ad70170d2802adbe3580.png"/><Relationship Id="rId8" Type="http://schemas.openxmlformats.org/officeDocument/2006/relationships/image" Target="media/65cc85c9803ae29d72ca07b35d9cddfe7b126c7e.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Microsoft 365 with your own Entra ID app</dc:title>
  <dc:creator>Offision</dc:creator>
  <cp:lastModifiedBy>Un-named</cp:lastModifiedBy>
  <cp:revision>1</cp:revision>
  <dcterms:created xsi:type="dcterms:W3CDTF">2026-09-09T10:22:38.981Z</dcterms:created>
  <dcterms:modified xsi:type="dcterms:W3CDTF">2026-09-09T10:22:38.981Z</dcterms:modified>
</cp:coreProperties>
</file>

<file path=docProps/custom.xml><?xml version="1.0" encoding="utf-8"?>
<Properties xmlns="http://schemas.openxmlformats.org/officeDocument/2006/custom-properties" xmlns:vt="http://schemas.openxmlformats.org/officeDocument/2006/docPropsVTypes"/>
</file>