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Logitech Sync</w:t>
      </w:r>
    </w:p>
    <w:p>
      <w:pPr>
        <w:spacing w:after="120"/>
      </w:pPr>
      <w:r>
        <w:rPr>
          <w:color w:val="6E6E73"/>
          <w:sz w:val="24"/>
          <w:szCs w:val="24"/>
        </w:rPr>
        <w:t xml:space="preserve">Generate a certificate in Logitech Sync, paste it and the organisation id into Offision, and sync the rooms and devices — about fifteen minutes, plus one poll before readings appear.</w:t>
      </w:r>
    </w:p>
    <w:p>
      <w:pPr>
        <w:pBdr>
          <w:bottom w:val="single" w:color="D2D2D7" w:sz="4"/>
        </w:pBdr>
        <w:spacing w:after="320"/>
      </w:pPr>
      <w:r>
        <w:rPr>
          <w:color w:val="6E6E73"/>
          <w:sz w:val="18"/>
          <w:szCs w:val="18"/>
        </w:rPr>
        <w:t xml:space="preserve">2026-09-14</w:t>
      </w:r>
      <w:r>
        <w:rPr>
          <w:color w:val="6E6E73"/>
          <w:sz w:val="18"/>
          <w:szCs w:val="18"/>
        </w:rPr>
        <w:t xml:space="preserve">   ·   </w:t>
      </w:r>
      <w:hyperlink w:history="1" r:id="rIdvgbwr1-efpuw_-d1tjeog">
        <w:r>
          <w:rPr>
            <w:rStyle w:val="Hyperlink"/>
            <w:color w:val="6E6E73"/>
            <w:sz w:val="18"/>
            <w:szCs w:val="18"/>
          </w:rPr>
          <w:t xml:space="preserve">https://offision.com/help/en/integrations/connect-logitech-sync/</w:t>
        </w:r>
      </w:hyperlink>
    </w:p>
    <w:p>
      <w:pPr>
        <w:spacing w:after="160"/>
      </w:pPr>
      <w:r>
        <w:t xml:space="preserve">Logitech Sync is the one connection that authenticates with a </w:t>
      </w:r>
      <w:r>
        <w:rPr>
          <w:b/>
          <w:bCs/>
        </w:rPr>
        <w:t xml:space="preserve">certificate</w:t>
      </w:r>
      <w:r>
        <w:t xml:space="preserve">
rather than a key you can paste from an email. You generate it in Logitech's own
console, hand Offision the certificate and its private key, then choose which
rooms and devices to sync.</w:t>
      </w:r>
    </w:p>
    <w:p>
      <w:pPr>
        <w:spacing w:after="160"/>
      </w:pPr>
      <w:r>
        <w:rPr>
          <w:b/>
          <w:bCs/>
        </w:rPr>
        <w:t xml:space="preserve">Before you start:</w:t>
      </w:r>
      <w:r>
        <w:t xml:space="preserve">
You need two separate accesses, usually two people's: a </w:t>
      </w:r>
      <w:r>
        <w:rPr>
          <w:b/>
          <w:bCs/>
        </w:rPr>
        <w:t xml:space="preserve">Logitech Sync</w:t>
      </w:r>
      <w:r>
        <w:t xml:space="preserve">
sign-in that can generate a certificate for the organisation, and an
</w:t>
      </w:r>
      <w:r>
        <w:rPr>
          <w:b/>
          <w:bCs/>
        </w:rPr>
        <w:t xml:space="preserve">Offision</w:t>
      </w:r>
      <w:r>
        <w:t xml:space="preserve"> account that can manage settings on the top-level tenant. The
organisation also needs a Logitech plan that includes API access — </w:t>
      </w:r>
      <w:r>
        <w:rPr>
          <w:b/>
          <w:bCs/>
        </w:rPr>
        <w:t xml:space="preserve">Select</w:t>
      </w:r>
      <w:r>
        <w:t xml:space="preserve">,
</w:t>
      </w:r>
      <w:r>
        <w:rPr>
          <w:b/>
          <w:bCs/>
        </w:rPr>
        <w:t xml:space="preserve">Essential</w:t>
      </w:r>
      <w:r>
        <w:t xml:space="preserve"> or </w:t>
      </w:r>
      <w:r>
        <w:rPr>
          <w:b/>
          <w:bCs/>
        </w:rPr>
        <w:t xml:space="preserve">Sync Plus</w:t>
      </w:r>
      <w:r>
        <w:t xml:space="preserve">. Without one, the certificate generates and then
every call is refused.</w:t>
      </w:r>
    </w:p>
    <w:p>
      <w:pPr>
        <w:pStyle w:val="Heading2"/>
      </w:pPr>
      <w:r>
        <w:t xml:space="preserve">What to have ready</w:t>
      </w:r>
    </w:p>
    <w:p>
      <w:pPr>
        <w:pStyle w:val="ListParagraph"/>
        <w:numPr>
          <w:ilvl w:val="0"/>
          <w:numId w:val="1"/>
        </w:numPr>
        <w:spacing w:after="80"/>
      </w:pPr>
      <w:r>
        <w:t xml:space="preserve">A Logitech Sync organisation with its devices already enrolled and reporting</w:t>
      </w:r>
    </w:p>
    <w:p>
      <w:pPr>
        <w:pStyle w:val="ListParagraph"/>
        <w:numPr>
          <w:ilvl w:val="0"/>
          <w:numId w:val="1"/>
        </w:numPr>
        <w:spacing w:after="80"/>
      </w:pPr>
      <w:r>
        <w:t xml:space="preserve">A Logitech Sync sign-in that can reach the organisation's API settings</w:t>
      </w:r>
    </w:p>
    <w:p>
      <w:pPr>
        <w:pStyle w:val="ListParagraph"/>
        <w:numPr>
          <w:ilvl w:val="0"/>
          <w:numId w:val="1"/>
        </w:numPr>
        <w:spacing w:after="80"/>
      </w:pPr>
      <w:r>
        <w:t xml:space="preserve">Somewhere secure for the private key — a password manager, not a chat message</w:t>
      </w:r>
    </w:p>
    <w:p>
      <w:pPr>
        <w:pStyle w:val="ListParagraph"/>
        <w:numPr>
          <w:ilvl w:val="0"/>
          <w:numId w:val="1"/>
        </w:numPr>
        <w:spacing w:after="80"/>
      </w:pPr>
      <w:r>
        <w:t xml:space="preserve">About fifteen minutes, plus one poll before the first readings arrive</w:t>
      </w:r>
    </w:p>
    <w:p>
      <w:pPr>
        <w:pStyle w:val="Heading2"/>
      </w:pPr>
      <w:r>
        <w:t xml:space="preserve">1. Generate the certificate in Logitech Sync</w:t>
      </w:r>
    </w:p>
    <w:p>
      <w:pPr>
        <w:spacing w:after="160"/>
      </w:pPr>
      <w:r>
        <w:t xml:space="preserve">Sign in to Logitech Sync and open the organisation's </w:t>
      </w:r>
      <w:r>
        <w:rPr>
          <w:b/>
          <w:bCs/>
        </w:rPr>
        <w:t xml:space="preserve">API access</w:t>
      </w:r>
      <w:r>
        <w:t xml:space="preserve"> page, then
generate a certificate. Save </w:t>
      </w:r>
      <w:r>
        <w:rPr>
          <w:b/>
          <w:bCs/>
        </w:rPr>
        <w:t xml:space="preserve">three</w:t>
      </w:r>
      <w:r>
        <w:t xml:space="preserve"> things before you leave the page: the
certificate, the private key, and the </w:t>
      </w:r>
      <w:r>
        <w:rPr>
          <w:b/>
          <w:bCs/>
        </w:rPr>
        <w:t xml:space="preserve">organisation id</w:t>
      </w:r>
      <w:r>
        <w:t xml:space="preserve">.</w:t>
      </w:r>
    </w:p>
    <w:p>
      <w:pPr>
        <w:spacing w:after="160"/>
      </w:pPr>
      <w:r>
        <w:t xml:space="preserve">The organisation id is not a loose detail. It is written into the certificate
itself, and Offision sends both — so an id that does not match the certificate is
refused outright rather than returning an empty result. If you are ever unsure
which organisation a certificate belongs to, generate a fresh one rather than
guessing.</w:t>
      </w:r>
    </w:p>
    <w:p>
      <w:pPr>
        <w:spacing w:after="160"/>
      </w:pPr>
      <w:r>
        <w:rPr>
          <w:b/>
          <w:bCs/>
        </w:rPr>
        <w:t xml:space="preserve">The private key is shown once:</w:t>
      </w:r>
      <w:r>
        <w:t xml:space="preserve">
Like any certificate, the key is offered at generation and not again. If it was
not saved, generate a new certificate instead of hunting for the old key.</w:t>
      </w:r>
    </w:p>
    <w:p>
      <w:pPr>
        <w:pStyle w:val="Heading2"/>
      </w:pPr>
      <w:r>
        <w:t xml:space="preserve">2. Open Logitech Sync in Offision</w:t>
      </w:r>
    </w:p>
    <w:p>
      <w:pPr>
        <w:spacing w:after="160"/>
      </w:pPr>
      <w:r>
        <w:t xml:space="preserve">The </w:t>
      </w:r>
      <w:r>
        <w:rPr>
          <w:b/>
          <w:bCs/>
        </w:rPr>
        <w:t xml:space="preserve">Logitech Sync</w:t>
      </w:r>
      <w:r>
        <w:t xml:space="preserve"> tile is in the marketplace, filed under </w:t>
      </w:r>
      <w:r>
        <w:rPr>
          <w:b/>
          <w:bCs/>
        </w:rPr>
        <w:t xml:space="preserve">IoT monitoring</w:t>
      </w:r>
      <w:r>
        <w:t xml:space="preserve">,
</w:t>
      </w:r>
      <w:r>
        <w:rPr>
          <w:b/>
          <w:bCs/>
        </w:rPr>
        <w:t xml:space="preserve">Environmental sensor</w:t>
      </w:r>
      <w:r>
        <w:t xml:space="preserve"> and </w:t>
      </w:r>
      <w:r>
        <w:rPr>
          <w:b/>
          <w:bCs/>
        </w:rPr>
        <w:t xml:space="preserve">Audio video</w:t>
      </w:r>
      <w:r>
        <w:t xml:space="preserve">. The same connection also appears on
</w:t>
      </w:r>
      <w:r>
        <w:rPr>
          <w:b/>
          <w:bCs/>
        </w:rPr>
        <w:t xml:space="preserve">Devices</w:t>
      </w:r>
      <w:r>
        <w:t xml:space="preserve"> › </w:t>
      </w:r>
      <w:r>
        <w:rPr>
          <w:b/>
          <w:bCs/>
        </w:rPr>
        <w:t xml:space="preserve">Platform integration</w:t>
      </w:r>
      <w:r>
        <w:t xml:space="preserve">; either opens the same dialog.</w:t>
      </w:r>
    </w:p>
    <w:p>
      <w:pPr>
        <w:spacing w:after="200"/>
      </w:pPr>
      <w:r>
        <w:rPr>
          <w:color w:val="6E6E73"/>
          <w:sz w:val="18"/>
          <w:szCs w:val="18"/>
        </w:rPr>
        <w:t xml:space="preserve">Where in Offision: admin app → marketplace/apps (Integrations)</w:t>
      </w:r>
    </w:p>
    <w:p>
      <w:pPr>
        <w:pStyle w:val="Heading2"/>
      </w:pPr>
      <w:r>
        <w:t xml:space="preserve">3. Add the connection</w:t>
      </w:r>
    </w:p>
    <w:p>
      <w:pPr>
        <w:spacing w:after="160"/>
      </w:pPr>
      <w:r>
        <w:t xml:space="preserve">Choose to add a connection. The form opens on </w:t>
      </w:r>
      <w:r>
        <w:rPr>
          <w:b/>
          <w:bCs/>
        </w:rPr>
        <w:t xml:space="preserve">Guidelines</w:t>
      </w:r>
      <w:r>
        <w:t xml:space="preserve"> and the fields are
on </w:t>
      </w:r>
      <w:r>
        <w:rPr>
          <w:b/>
          <w:bCs/>
        </w:rPr>
        <w:t xml:space="preserve">Setup</w:t>
      </w:r>
      <w:r>
        <w:t xml:space="preserve"> — click straight through to it.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05"/>
        <w:gridCol w:w="6455"/>
      </w:tblGrid>
      <w:tr>
        <w:trPr>
          <w:cantSplit/>
          <w:tblHeader/>
        </w:trPr>
        <w:tc>
          <w:tcPr>
            <w:tcW w:type="dxa" w:w="2905"/>
            <w:shd w:fill="F5F5F7" w:val="clear"/>
          </w:tcPr>
          <w:p>
            <w:pPr>
              <w:spacing w:after="0"/>
            </w:pPr>
            <w:r>
              <w:rPr>
                <w:b/>
                <w:bCs/>
              </w:rPr>
              <w:t xml:space="preserve">Field</w:t>
            </w:r>
          </w:p>
        </w:tc>
        <w:tc>
          <w:tcPr>
            <w:tcW w:type="dxa" w:w="6455"/>
            <w:shd w:fill="F5F5F7" w:val="clear"/>
          </w:tcPr>
          <w:p>
            <w:pPr>
              <w:spacing w:after="0"/>
            </w:pPr>
            <w:r>
              <w:rPr>
                <w:b/>
                <w:bCs/>
              </w:rPr>
              <w:t xml:space="preserve">What to enter</w:t>
            </w:r>
          </w:p>
        </w:tc>
      </w:tr>
      <w:tr>
        <w:trPr>
          <w:cantSplit/>
        </w:trPr>
        <w:tc>
          <w:tcPr>
            <w:tcW w:type="dxa" w:w="2905"/>
          </w:tcPr>
          <w:p>
            <w:pPr>
              <w:spacing w:after="0"/>
            </w:pPr>
            <w:r>
              <w:rPr>
                <w:b/>
                <w:bCs/>
              </w:rPr>
              <w:t xml:space="preserve">Name</w:t>
            </w:r>
          </w:p>
        </w:tc>
        <w:tc>
          <w:tcPr>
            <w:tcW w:type="dxa" w:w="6455"/>
          </w:tcPr>
          <w:p>
            <w:pPr>
              <w:spacing w:after="0"/>
            </w:pPr>
            <w:r>
              <w:t xml:space="preserve">Anything that tells connections apart — the organisation's name works</w:t>
            </w:r>
          </w:p>
        </w:tc>
      </w:tr>
      <w:tr>
        <w:trPr>
          <w:cantSplit/>
        </w:trPr>
        <w:tc>
          <w:tcPr>
            <w:tcW w:type="dxa" w:w="2905"/>
          </w:tcPr>
          <w:p>
            <w:pPr>
              <w:spacing w:after="0"/>
            </w:pPr>
            <w:r>
              <w:rPr>
                <w:b/>
                <w:bCs/>
              </w:rPr>
              <w:t xml:space="preserve">Branch management</w:t>
            </w:r>
          </w:p>
        </w:tc>
        <w:tc>
          <w:tcPr>
            <w:tcW w:type="dxa" w:w="6455"/>
          </w:tcPr>
          <w:p>
            <w:pPr>
              <w:spacing w:after="0"/>
            </w:pPr>
            <w:r>
              <w:t xml:space="preserve">Which part of the company owns the synced devices</w:t>
            </w:r>
          </w:p>
        </w:tc>
      </w:tr>
      <w:tr>
        <w:trPr>
          <w:cantSplit/>
        </w:trPr>
        <w:tc>
          <w:tcPr>
            <w:tcW w:type="dxa" w:w="2905"/>
          </w:tcPr>
          <w:p>
            <w:pPr>
              <w:spacing w:after="0"/>
            </w:pPr>
            <w:r>
              <w:rPr>
                <w:b/>
                <w:bCs/>
              </w:rPr>
              <w:t xml:space="preserve">API Base URL</w:t>
            </w:r>
          </w:p>
        </w:tc>
        <w:tc>
          <w:tcPr>
            <w:tcW w:type="dxa" w:w="6455"/>
          </w:tcPr>
          <w:p>
            <w:pPr>
              <w:spacing w:after="0"/>
            </w:pPr>
            <w:r>
              <w:t xml:space="preserve">Leave the default unless Logitech has told you otherwise</w:t>
            </w:r>
          </w:p>
        </w:tc>
      </w:tr>
      <w:tr>
        <w:trPr>
          <w:cantSplit/>
        </w:trPr>
        <w:tc>
          <w:tcPr>
            <w:tcW w:type="dxa" w:w="2905"/>
          </w:tcPr>
          <w:p>
            <w:pPr>
              <w:spacing w:after="0"/>
            </w:pPr>
            <w:r>
              <w:rPr>
                <w:b/>
                <w:bCs/>
              </w:rPr>
              <w:t xml:space="preserve">Org ID</w:t>
            </w:r>
          </w:p>
        </w:tc>
        <w:tc>
          <w:tcPr>
            <w:tcW w:type="dxa" w:w="6455"/>
          </w:tcPr>
          <w:p>
            <w:pPr>
              <w:spacing w:after="0"/>
            </w:pPr>
            <w:r>
              <w:t xml:space="preserve">The organisation id from step 1</w:t>
            </w:r>
          </w:p>
        </w:tc>
      </w:tr>
      <w:tr>
        <w:trPr>
          <w:cantSplit/>
        </w:trPr>
        <w:tc>
          <w:tcPr>
            <w:tcW w:type="dxa" w:w="2905"/>
          </w:tcPr>
          <w:p>
            <w:pPr>
              <w:spacing w:after="0"/>
            </w:pPr>
            <w:r>
              <w:rPr>
                <w:b/>
                <w:bCs/>
              </w:rPr>
              <w:t xml:space="preserve">Certificate</w:t>
            </w:r>
          </w:p>
        </w:tc>
        <w:tc>
          <w:tcPr>
            <w:tcW w:type="dxa" w:w="6455"/>
          </w:tcPr>
          <w:p>
            <w:pPr>
              <w:spacing w:after="0"/>
            </w:pPr>
            <w:r>
              <w:t xml:space="preserve">The whole certificate, including its first and last lines</w:t>
            </w:r>
          </w:p>
        </w:tc>
      </w:tr>
      <w:tr>
        <w:trPr>
          <w:cantSplit/>
        </w:trPr>
        <w:tc>
          <w:tcPr>
            <w:tcW w:type="dxa" w:w="2905"/>
          </w:tcPr>
          <w:p>
            <w:pPr>
              <w:spacing w:after="0"/>
            </w:pPr>
            <w:r>
              <w:rPr>
                <w:b/>
                <w:bCs/>
              </w:rPr>
              <w:t xml:space="preserve">Private key</w:t>
            </w:r>
          </w:p>
        </w:tc>
        <w:tc>
          <w:tcPr>
            <w:tcW w:type="dxa" w:w="6455"/>
          </w:tcPr>
          <w:p>
            <w:pPr>
              <w:spacing w:after="0"/>
            </w:pPr>
            <w:r>
              <w:t xml:space="preserve">The matching key, pasted the same way</w:t>
            </w:r>
          </w:p>
        </w:tc>
      </w:tr>
      <w:tr>
        <w:trPr>
          <w:cantSplit/>
        </w:trPr>
        <w:tc>
          <w:tcPr>
            <w:tcW w:type="dxa" w:w="2905"/>
          </w:tcPr>
          <w:p>
            <w:pPr>
              <w:spacing w:after="0"/>
            </w:pPr>
            <w:r>
              <w:rPr>
                <w:b/>
                <w:bCs/>
              </w:rPr>
              <w:t xml:space="preserve">Poll interval (minutes)</w:t>
            </w:r>
          </w:p>
        </w:tc>
        <w:tc>
          <w:tcPr>
            <w:tcW w:type="dxa" w:w="6455"/>
          </w:tcPr>
          <w:p>
            <w:pPr>
              <w:spacing w:after="0"/>
            </w:pPr>
            <w:r>
              <w:t xml:space="preserve">Recorded on the connection and shown on its tile. Readings refresh about once a minute either way</w:t>
            </w:r>
          </w:p>
        </w:tc>
      </w:tr>
    </w:tbl>
    <w:p>
      <w:pPr>
        <w:spacing w:after="0"/>
      </w:pPr>
    </w:p>
    <w:p>
      <w:pPr>
        <w:spacing w:after="160"/>
      </w:pPr>
      <w:r>
        <w:t xml:space="preserve">Save, and the connection appears with a green dot.</w:t>
      </w:r>
    </w:p>
    <w:p>
      <w:pPr>
        <w:spacing w:after="160"/>
      </w:pPr>
      <w:r>
        <w:rPr>
          <w:b/>
          <w:bCs/>
        </w:rPr>
        <w:t xml:space="preserve">Saving does not test the connection:</w:t>
      </w:r>
      <w:r>
        <w:t xml:space="preserve">
Nothing is checked at save time on this platform: a wrong certificate saves as
</w:t>
      </w:r>
      <w:r>
        <w:rPr>
          <w:b/>
          <w:bCs/>
        </w:rPr>
        <w:t xml:space="preserve">Active</w:t>
      </w:r>
      <w:r>
        <w:t xml:space="preserve"> and stays that way until you open the sync dialog or the first poll
runs. Do step 4 straight away rather than treating a clean save as success.</w:t>
      </w:r>
    </w:p>
    <w:p>
      <w:pPr>
        <w:spacing w:after="160"/>
      </w:pPr>
      <w:r>
        <w:t xml:space="preserve">Editing the connection later shows </w:t>
      </w:r>
      <w:r>
        <w:rPr>
          <w:i/>
          <w:iCs/>
        </w:rPr>
        <w:t xml:space="preserve">Leave blank to keep the current certificate
and key.</w:t>
      </w:r>
      <w:r>
        <w:t xml:space="preserve"> — which means exactly that. Leave both boxes empty unless you are
replacing the certificate.</w:t>
      </w:r>
    </w:p>
    <w:p>
      <w:pPr>
        <w:pStyle w:val="Heading2"/>
      </w:pPr>
      <w:r>
        <w:t xml:space="preserve">4. Sync devices &amp; spaces</w:t>
      </w:r>
    </w:p>
    <w:p>
      <w:pPr>
        <w:spacing w:after="160"/>
      </w:pPr>
      <w:r>
        <w:t xml:space="preserve">Open the connection and choose </w:t>
      </w:r>
      <w:r>
        <w:rPr>
          <w:b/>
          <w:bCs/>
        </w:rPr>
        <w:t xml:space="preserve">Sync devices &amp; spaces</w:t>
      </w:r>
      <w:r>
        <w:t xml:space="preserve">. The dialog lists
what the certificate can see, in two sections: </w:t>
      </w:r>
      <w:r>
        <w:rPr>
          <w:b/>
          <w:bCs/>
        </w:rPr>
        <w:t xml:space="preserve">Spaces</w:t>
      </w:r>
      <w:r>
        <w:t xml:space="preserve"> — Logitech's rooms —
and </w:t>
      </w:r>
      <w:r>
        <w:rPr>
          <w:b/>
          <w:bCs/>
        </w:rPr>
        <w:t xml:space="preserve">Devices</w:t>
      </w:r>
      <w:r>
        <w:t xml:space="preserve">, each with its product, place and whether it is online.</w:t>
      </w:r>
    </w:p>
    <w:p>
      <w:pPr>
        <w:spacing w:after="160"/>
      </w:pPr>
      <w:r>
        <w:t xml:space="preserve">Check a room and give its readings a destination: </w:t>
      </w:r>
      <w:r>
        <w:rPr>
          <w:b/>
          <w:bCs/>
        </w:rPr>
        <w:t xml:space="preserve">Create new IoT space</w:t>
      </w:r>
      <w:r>
        <w:t xml:space="preserve">
collects the data without making it bookable, and picking one of your bookable
resources wires the room's sensors to a room people actually book. Then check the
devices and sync.</w:t>
      </w:r>
    </w:p>
    <w:p>
      <w:pPr>
        <w:spacing w:after="160"/>
      </w:pPr>
      <w:r>
        <w:t xml:space="preserve">Only rooms appear under Spaces. A Logitech desk is never offered here, and that
is not a fault — see
</w:t>
      </w:r>
      <w:hyperlink w:history="1" r:id="rIdsl98jmn2ukflmzs3oof5l">
        <w:r>
          <w:rPr>
            <w:rStyle w:val="Hyperlink"/>
          </w:rPr>
          <w:t xml:space="preserve">What Logitech Sync brings into Offision</w:t>
        </w:r>
      </w:hyperlink>
      <w:r>
        <w:t xml:space="preserve">.</w:t>
      </w:r>
    </w:p>
    <w:p>
      <w:pPr>
        <w:pStyle w:val="Heading2"/>
      </w:pPr>
      <w:r>
        <w:t xml:space="preserve">5. Check it worked</w:t>
      </w:r>
    </w:p>
    <w:p>
      <w:pPr>
        <w:spacing w:after="160"/>
      </w:pPr>
      <w:r>
        <w:t xml:space="preserve">Open </w:t>
      </w:r>
      <w:r>
        <w:rPr>
          <w:b/>
          <w:bCs/>
        </w:rPr>
        <w:t xml:space="preserve">Devices</w:t>
      </w:r>
      <w:r>
        <w:t xml:space="preserve"> in the dialog's rail and pick one — it should report online. A
</w:t>
      </w:r>
      <w:r>
        <w:rPr>
          <w:b/>
          <w:bCs/>
        </w:rPr>
        <w:t xml:space="preserve">Spot</w:t>
      </w:r>
      <w:r>
        <w:t xml:space="preserve"> or a </w:t>
      </w:r>
      <w:r>
        <w:rPr>
          <w:b/>
          <w:bCs/>
        </w:rPr>
        <w:t xml:space="preserve">Rally Board 65</w:t>
      </w:r>
      <w:r>
        <w:t xml:space="preserve"> grows a </w:t>
      </w:r>
      <w:r>
        <w:rPr>
          <w:b/>
          <w:bCs/>
        </w:rPr>
        <w:t xml:space="preserve">Status</w:t>
      </w:r>
      <w:r>
        <w:t xml:space="preserve"> page whose </w:t>
      </w:r>
      <w:r>
        <w:rPr>
          <w:b/>
          <w:bCs/>
        </w:rPr>
        <w:t xml:space="preserve">Sensor data</w:t>
      </w:r>
      <w:r>
        <w:t xml:space="preserve">
tiles fill within a poll or so; a Rally Bar or a Tap correctly has no Status page
at all.</w:t>
      </w:r>
    </w:p>
    <w:p>
      <w:pPr>
        <w:spacing w:after="160"/>
      </w:pPr>
      <w:r>
        <w:t xml:space="preserve">Then check the other direction: </w:t>
      </w:r>
      <w:r>
        <w:rPr>
          <w:b/>
          <w:bCs/>
        </w:rPr>
        <w:t xml:space="preserve">Open in Logitech Sync</w:t>
      </w:r>
      <w:r>
        <w:t xml:space="preserve"> on the same page should
land on this exact device in Logitech's console. That proves the identifiers
match and not merely the names. Where the readings go next is its own article:
</w:t>
      </w:r>
      <w:hyperlink w:history="1" r:id="rIdmosi2u2-hiycol2b5qqcl">
        <w:r>
          <w:rPr>
            <w:rStyle w:val="Hyperlink"/>
          </w:rPr>
          <w:t xml:space="preserve">See Logitech sensor data around Offision</w:t>
        </w:r>
      </w:hyperlink>
      <w:r>
        <w:t xml:space="preserv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see</w:t>
            </w:r>
          </w:p>
        </w:tc>
        <w:tc>
          <w:tcPr>
            <w:tcW w:type="dxa" w:w="4680"/>
            <w:shd w:fill="F5F5F7" w:val="clear"/>
          </w:tcPr>
          <w:p>
            <w:pPr>
              <w:spacing w:after="0"/>
            </w:pPr>
            <w:r>
              <w:rPr>
                <w:b/>
                <w:bCs/>
              </w:rPr>
              <w:t xml:space="preserve">Usual cause</w:t>
            </w:r>
          </w:p>
        </w:tc>
      </w:tr>
      <w:tr>
        <w:trPr>
          <w:cantSplit/>
        </w:trPr>
        <w:tc>
          <w:tcPr>
            <w:tcW w:type="dxa" w:w="4680"/>
          </w:tcPr>
          <w:p>
            <w:pPr>
              <w:spacing w:after="0"/>
            </w:pPr>
            <w:r>
              <w:t xml:space="preserve">The save button stays disabled</w:t>
            </w:r>
          </w:p>
        </w:tc>
        <w:tc>
          <w:tcPr>
            <w:tcW w:type="dxa" w:w="4680"/>
          </w:tcPr>
          <w:p>
            <w:pPr>
              <w:spacing w:after="0"/>
            </w:pPr>
            <w:r>
              <w:rPr>
                <w:b/>
                <w:bCs/>
              </w:rPr>
              <w:t xml:space="preserve">Org ID</w:t>
            </w:r>
            <w:r>
              <w:t xml:space="preserve">, </w:t>
            </w:r>
            <w:r>
              <w:rPr>
                <w:b/>
                <w:bCs/>
              </w:rPr>
              <w:t xml:space="preserve">Certificate</w:t>
            </w:r>
            <w:r>
              <w:t xml:space="preserve"> or </w:t>
            </w:r>
            <w:r>
              <w:rPr>
                <w:b/>
                <w:bCs/>
              </w:rPr>
              <w:t xml:space="preserve">Private key</w:t>
            </w:r>
            <w:r>
              <w:t xml:space="preserve"> is empty — all three are required, and a certificate without its key will not do</w:t>
            </w:r>
          </w:p>
        </w:tc>
      </w:tr>
      <w:tr>
        <w:trPr>
          <w:cantSplit/>
        </w:trPr>
        <w:tc>
          <w:tcPr>
            <w:tcW w:type="dxa" w:w="4680"/>
          </w:tcPr>
          <w:p>
            <w:pPr>
              <w:spacing w:after="0"/>
            </w:pPr>
            <w:r>
              <w:rPr>
                <w:b/>
                <w:bCs/>
              </w:rPr>
              <w:t xml:space="preserve">Failed to load preview</w:t>
            </w:r>
            <w:r>
              <w:t xml:space="preserve"> in the sync dialog</w:t>
            </w:r>
          </w:p>
        </w:tc>
        <w:tc>
          <w:tcPr>
            <w:tcW w:type="dxa" w:w="4680"/>
          </w:tcPr>
          <w:p>
            <w:pPr>
              <w:spacing w:after="0"/>
            </w:pPr>
            <w:r>
              <w:t xml:space="preserve">The certificate is wrong or expired, or the </w:t>
            </w:r>
            <w:r>
              <w:rPr>
                <w:b/>
                <w:bCs/>
              </w:rPr>
              <w:t xml:space="preserve">Org ID</w:t>
            </w:r>
            <w:r>
              <w:t xml:space="preserve"> belongs to a different organisation than the certificate does</w:t>
            </w:r>
          </w:p>
        </w:tc>
      </w:tr>
      <w:tr>
        <w:trPr>
          <w:cantSplit/>
        </w:trPr>
        <w:tc>
          <w:tcPr>
            <w:tcW w:type="dxa" w:w="4680"/>
          </w:tcPr>
          <w:p>
            <w:pPr>
              <w:spacing w:after="0"/>
            </w:pPr>
            <w:r>
              <w:rPr>
                <w:b/>
                <w:bCs/>
              </w:rPr>
              <w:t xml:space="preserve">No spaces found</w:t>
            </w:r>
            <w:r>
              <w:t xml:space="preserve">, but devices are listed</w:t>
            </w:r>
          </w:p>
        </w:tc>
        <w:tc>
          <w:tcPr>
            <w:tcW w:type="dxa" w:w="4680"/>
          </w:tcPr>
          <w:p>
            <w:pPr>
              <w:spacing w:after="0"/>
            </w:pPr>
            <w:r>
              <w:t xml:space="preserve">The organisation has only desks. Only rooms become spaces</w:t>
            </w:r>
          </w:p>
        </w:tc>
      </w:tr>
      <w:tr>
        <w:trPr>
          <w:cantSplit/>
        </w:trPr>
        <w:tc>
          <w:tcPr>
            <w:tcW w:type="dxa" w:w="4680"/>
          </w:tcPr>
          <w:p>
            <w:pPr>
              <w:spacing w:after="0"/>
            </w:pPr>
            <w:r>
              <w:t xml:space="preserve">The connection shows </w:t>
            </w:r>
            <w:r>
              <w:rPr>
                <w:b/>
                <w:bCs/>
              </w:rPr>
              <w:t xml:space="preserve">Suspended</w:t>
            </w:r>
            <w:r>
              <w:t xml:space="preserve">, with a </w:t>
            </w:r>
            <w:r>
              <w:rPr>
                <w:b/>
                <w:bCs/>
              </w:rPr>
              <w:t xml:space="preserve">Resume</w:t>
            </w:r>
            <w:r>
              <w:t xml:space="preserve"> action</w:t>
            </w:r>
          </w:p>
        </w:tc>
        <w:tc>
          <w:tcPr>
            <w:tcW w:type="dxa" w:w="4680"/>
          </w:tcPr>
          <w:p>
            <w:pPr>
              <w:spacing w:after="0"/>
            </w:pPr>
            <w:r>
              <w:t xml:space="preserve">The organisation's API plan lapsed, or the certificate was deactivated. A refusal of that kind suspends the connection on the </w:t>
            </w:r>
            <w:r>
              <w:rPr>
                <w:b/>
                <w:bCs/>
              </w:rPr>
              <w:t xml:space="preserve">first</w:t>
            </w:r>
            <w:r>
              <w:t xml:space="preserve"> occurrence; ordinary network failures take five in a row. Fix the cause, then </w:t>
            </w:r>
            <w:r>
              <w:rPr>
                <w:b/>
                <w:bCs/>
              </w:rPr>
              <w:t xml:space="preserve">Resume</w:t>
            </w:r>
            <w:r>
              <w:t xml:space="preserve"> — recovery is deliberately manual</w:t>
            </w:r>
          </w:p>
        </w:tc>
      </w:tr>
      <w:tr>
        <w:trPr>
          <w:cantSplit/>
        </w:trPr>
        <w:tc>
          <w:tcPr>
            <w:tcW w:type="dxa" w:w="4680"/>
          </w:tcPr>
          <w:p>
            <w:pPr>
              <w:spacing w:after="0"/>
            </w:pPr>
            <w:r>
              <w:t xml:space="preserve">Editing appears to have cleared the certificate</w:t>
            </w:r>
          </w:p>
        </w:tc>
        <w:tc>
          <w:tcPr>
            <w:tcW w:type="dxa" w:w="4680"/>
          </w:tcPr>
          <w:p>
            <w:pPr>
              <w:spacing w:after="0"/>
            </w:pPr>
            <w:r>
              <w:t xml:space="preserve">It has not. Blank means </w:t>
            </w:r>
            <w:r>
              <w:rPr>
                <w:i/>
                <w:iCs/>
              </w:rPr>
              <w:t xml:space="preserve">keep the current one</w:t>
            </w:r>
          </w:p>
        </w:tc>
      </w:tr>
      <w:tr>
        <w:trPr>
          <w:cantSplit/>
        </w:trPr>
        <w:tc>
          <w:tcPr>
            <w:tcW w:type="dxa" w:w="4680"/>
          </w:tcPr>
          <w:p>
            <w:pPr>
              <w:spacing w:after="0"/>
            </w:pPr>
            <w:r>
              <w:t xml:space="preserve">A device is online but has no </w:t>
            </w:r>
            <w:r>
              <w:rPr>
                <w:b/>
                <w:bCs/>
              </w:rPr>
              <w:t xml:space="preserve">Status</w:t>
            </w:r>
            <w:r>
              <w:t xml:space="preserve"> page</w:t>
            </w:r>
          </w:p>
        </w:tc>
        <w:tc>
          <w:tcPr>
            <w:tcW w:type="dxa" w:w="4680"/>
          </w:tcPr>
          <w:p>
            <w:pPr>
              <w:spacing w:after="0"/>
            </w:pPr>
            <w:r>
              <w:t xml:space="preserve">That product has no sensors — only Spot and Rally Board 65 report readings</w:t>
            </w:r>
          </w:p>
        </w:tc>
      </w:tr>
      <w:tr>
        <w:trPr>
          <w:cantSplit/>
        </w:trPr>
        <w:tc>
          <w:tcPr>
            <w:tcW w:type="dxa" w:w="4680"/>
          </w:tcPr>
          <w:p>
            <w:pPr>
              <w:spacing w:after="0"/>
            </w:pPr>
            <w:r>
              <w:t xml:space="preserve">Tiles read </w:t>
            </w:r>
            <w:r>
              <w:rPr>
                <w:rFonts w:ascii="Consolas" w:cs="Consolas" w:eastAsia="Consolas" w:hAnsi="Consolas"/>
                <w:sz w:val="20"/>
                <w:szCs w:val="20"/>
                <w:shd w:fill="F5F5F7" w:val="clear"/>
              </w:rPr>
              <w:t xml:space="preserve">-</w:t>
            </w:r>
            <w:r>
              <w:t xml:space="preserve"> and never fill</w:t>
            </w:r>
          </w:p>
        </w:tc>
        <w:tc>
          <w:tcPr>
            <w:tcW w:type="dxa" w:w="4680"/>
          </w:tcPr>
          <w:p>
            <w:pPr>
              <w:spacing w:after="0"/>
            </w:pPr>
            <w:r>
              <w:t xml:space="preserve">The device is named so that Offision reads it as a Spot or a Board when it is neither. Rename it in Logitech Sync and sync again</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gbwr1-efpuw_-d1tjeog" Type="http://schemas.openxmlformats.org/officeDocument/2006/relationships/hyperlink" Target="https://offision.com/help/en/integrations/connect-logitech-sync/" TargetMode="External"/><Relationship Id="rIdsl98jmn2ukflmzs3oof5l" Type="http://schemas.openxmlformats.org/officeDocument/2006/relationships/hyperlink" Target="../what-logitech-sync-reports/" TargetMode="External"/><Relationship Id="rIdmosi2u2-hiycol2b5qqcl" Type="http://schemas.openxmlformats.org/officeDocument/2006/relationships/hyperlink" Target="../see-logitech-sensor-data/"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Logitech Sync</dc:title>
  <dc:creator>Offision</dc:creator>
  <cp:lastModifiedBy>Un-named</cp:lastModifiedBy>
  <cp:revision>1</cp:revision>
  <dcterms:created xsi:type="dcterms:W3CDTF">2026-11-07T20:50:40.320Z</dcterms:created>
  <dcterms:modified xsi:type="dcterms:W3CDTF">2026-11-07T20:50:40.320Z</dcterms:modified>
</cp:coreProperties>
</file>

<file path=docProps/custom.xml><?xml version="1.0" encoding="utf-8"?>
<Properties xmlns="http://schemas.openxmlformats.org/officeDocument/2006/custom-properties" xmlns:vt="http://schemas.openxmlformats.org/officeDocument/2006/docPropsVTypes"/>
</file>