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Internal events and external events</w:t>
      </w:r>
    </w:p>
    <w:p>
      <w:pPr>
        <w:spacing w:after="120"/>
      </w:pPr>
      <w:r>
        <w:rPr>
          <w:color w:val="6E6E73"/>
          <w:sz w:val="24"/>
          <w:szCs w:val="24"/>
        </w:rPr>
        <w:t xml:space="preserve">Every event is opened to your own staff and to the outside world separately, with its own switches and its own registration window. What the two audiences are asked for, and why external is asked for more.</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s4cj3ormtvl28jtxklsiy">
        <w:r>
          <w:rPr>
            <w:rStyle w:val="Hyperlink"/>
            <w:color w:val="6E6E73"/>
            <w:sz w:val="18"/>
            <w:szCs w:val="18"/>
          </w:rPr>
          <w:t xml:space="preserve">https://offision.com/help/en/events/internal-and-external-events/</w:t>
        </w:r>
      </w:hyperlink>
    </w:p>
    <w:p>
      <w:pPr>
        <w:spacing w:after="160"/>
      </w:pPr>
      <w:r>
        <w:t xml:space="preserve">Every event is opened to two audiences, and they are set </w:t>
      </w:r>
      <w:r>
        <w:rPr>
          <w:b/>
          <w:bCs/>
        </w:rPr>
        <w:t xml:space="preserve">independently</w:t>
      </w:r>
      <w:r>
        <w:t xml:space="preserve">.
</w:t>
      </w:r>
      <w:r>
        <w:rPr>
          <w:b/>
          <w:bCs/>
        </w:rPr>
        <w:t xml:space="preserve">Internal</w:t>
      </w:r>
      <w:r>
        <w:t xml:space="preserve"> is your own staff, who find the event in the app and sign up with
the account they already have. </w:t>
      </w:r>
      <w:r>
        <w:rPr>
          <w:b/>
          <w:bCs/>
        </w:rPr>
        <w:t xml:space="preserve">External</w:t>
      </w:r>
      <w:r>
        <w:t xml:space="preserve"> is everybody else, who find it on a
public page and fill in a form.</w:t>
      </w:r>
    </w:p>
    <w:p>
      <w:pPr>
        <w:spacing w:after="160"/>
      </w:pPr>
      <w:r>
        <w:t xml:space="preserve">An event can be open to one, to both, or — easily, by accident — to neither.
That last case is the commonest reason somebody reports that nobody can see
their event: it was published, and simply never shown to anyone.</w:t>
      </w:r>
    </w:p>
    <w:p>
      <w:pPr>
        <w:pStyle w:val="Heading2"/>
      </w:pPr>
      <w:r>
        <w:t xml:space="preserve">The two are not mirror images</w:t>
      </w:r>
    </w:p>
    <w:p>
      <w:pPr>
        <w:spacing w:after="160"/>
      </w:pPr>
      <w:r>
        <w:t xml:space="preserve">Each audience has the same three switches: whether they can see the event at all,
whether they may sign themselves up, and a registration window of their own. The
windows are genuinely separate, which is what lets external sign-ups close a week
early while colleagues can still put their name down the night before.</w:t>
      </w:r>
    </w:p>
    <w:p>
      <w:pPr>
        <w:spacing w:after="160"/>
      </w:pPr>
      <w:r>
        <w:t xml:space="preserve">Beyond those three, the external side carries things the internal side has no
equivalent of at all.</w:t>
      </w:r>
    </w:p>
    <w:p>
      <w:pPr>
        <w:spacing w:after="60" w:before="160"/>
        <w:jc w:val="center"/>
      </w:pPr>
      <w:r>
        <w:drawing>
          <wp:inline distT="0" distB="0" distL="0" distR="0">
            <wp:extent cx="5715000" cy="4286250"/>
            <wp:effectExtent t="0" r="0" b="0" l="0"/>
            <wp:docPr id="1" name="event-audiences" descr="Internal is a strict subset of external: the same three switches, and none of the three below them." title="Internal is a strict subset of external: the same three switches, and none of the three below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Internal is a strict subset of external: the same three switches, and none of the three below them.</w:t>
      </w:r>
    </w:p>
    <w:p>
      <w:pPr>
        <w:spacing w:after="160"/>
      </w:pPr>
      <w:r>
        <w:t xml:space="preserve">The reason is worth saying plainly, because it explains the whole shape: a
colleague is </w:t>
      </w:r>
      <w:r>
        <w:rPr>
          <w:b/>
          <w:bCs/>
        </w:rPr>
        <w:t xml:space="preserve">already a record in Offision</w:t>
      </w:r>
      <w:r>
        <w:t xml:space="preserve">. Their name, department and address
are known, so there is nothing to ask them and nothing to get consent for. An
external registrant is a stranger typing into a form, so everything you need from
them has to be asked for — and anything you intend to do with it has to be agreed
to.</w:t>
      </w:r>
    </w:p>
    <w:p>
      <w:pPr>
        <w:pStyle w:val="Heading2"/>
      </w:pPr>
      <w:r>
        <w:t xml:space="preserve">Three events, and how they are set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70"/>
        <w:gridCol w:w="2106"/>
        <w:gridCol w:w="2106"/>
        <w:gridCol w:w="3978"/>
      </w:tblGrid>
      <w:tr>
        <w:trPr>
          <w:cantSplit/>
          <w:tblHeader/>
        </w:trPr>
        <w:tc>
          <w:tcPr>
            <w:tcW w:type="dxa" w:w="1170"/>
            <w:shd w:fill="F5F5F7" w:val="clear"/>
          </w:tcPr>
          <w:p>
            <w:pPr>
              <w:spacing w:after="0"/>
            </w:pPr>
          </w:p>
        </w:tc>
        <w:tc>
          <w:tcPr>
            <w:tcW w:type="dxa" w:w="2106"/>
            <w:shd w:fill="F5F5F7" w:val="clear"/>
          </w:tcPr>
          <w:p>
            <w:pPr>
              <w:spacing w:after="0"/>
            </w:pPr>
            <w:r>
              <w:rPr>
                <w:b/>
                <w:bCs/>
              </w:rPr>
              <w:t xml:space="preserve">Staff town hall</w:t>
            </w:r>
          </w:p>
        </w:tc>
        <w:tc>
          <w:tcPr>
            <w:tcW w:type="dxa" w:w="2106"/>
            <w:shd w:fill="F5F5F7" w:val="clear"/>
          </w:tcPr>
          <w:p>
            <w:pPr>
              <w:spacing w:after="0"/>
            </w:pPr>
            <w:r>
              <w:rPr>
                <w:b/>
                <w:bCs/>
              </w:rPr>
              <w:t xml:space="preserve">Customer open day</w:t>
            </w:r>
          </w:p>
        </w:tc>
        <w:tc>
          <w:tcPr>
            <w:tcW w:type="dxa" w:w="3978"/>
            <w:shd w:fill="F5F5F7" w:val="clear"/>
          </w:tcPr>
          <w:p>
            <w:pPr>
              <w:spacing w:after="0"/>
            </w:pPr>
            <w:r>
              <w:rPr>
                <w:b/>
                <w:bCs/>
              </w:rPr>
              <w:t xml:space="preserve">Partner briefing</w:t>
            </w:r>
          </w:p>
        </w:tc>
      </w:tr>
      <w:tr>
        <w:trPr>
          <w:cantSplit/>
        </w:trPr>
        <w:tc>
          <w:tcPr>
            <w:tcW w:type="dxa" w:w="1170"/>
          </w:tcPr>
          <w:p>
            <w:pPr>
              <w:spacing w:after="0"/>
            </w:pPr>
            <w:r>
              <w:rPr>
                <w:b/>
                <w:bCs/>
              </w:rPr>
              <w:t xml:space="preserve">Internal</w:t>
            </w:r>
          </w:p>
        </w:tc>
        <w:tc>
          <w:tcPr>
            <w:tcW w:type="dxa" w:w="2106"/>
          </w:tcPr>
          <w:p>
            <w:pPr>
              <w:spacing w:after="0"/>
            </w:pPr>
            <w:r>
              <w:t xml:space="preserve">Open, no window</w:t>
            </w:r>
          </w:p>
        </w:tc>
        <w:tc>
          <w:tcPr>
            <w:tcW w:type="dxa" w:w="2106"/>
          </w:tcPr>
          <w:p>
            <w:pPr>
              <w:spacing w:after="0"/>
            </w:pPr>
            <w:r>
              <w:t xml:space="preserve">Off</w:t>
            </w:r>
          </w:p>
        </w:tc>
        <w:tc>
          <w:tcPr>
            <w:tcW w:type="dxa" w:w="3978"/>
          </w:tcPr>
          <w:p>
            <w:pPr>
              <w:spacing w:after="0"/>
            </w:pPr>
            <w:r>
              <w:t xml:space="preserve">Open</w:t>
            </w:r>
          </w:p>
        </w:tc>
      </w:tr>
      <w:tr>
        <w:trPr>
          <w:cantSplit/>
        </w:trPr>
        <w:tc>
          <w:tcPr>
            <w:tcW w:type="dxa" w:w="1170"/>
          </w:tcPr>
          <w:p>
            <w:pPr>
              <w:spacing w:after="0"/>
            </w:pPr>
            <w:r>
              <w:rPr>
                <w:b/>
                <w:bCs/>
              </w:rPr>
              <w:t xml:space="preserve">External</w:t>
            </w:r>
          </w:p>
        </w:tc>
        <w:tc>
          <w:tcPr>
            <w:tcW w:type="dxa" w:w="2106"/>
          </w:tcPr>
          <w:p>
            <w:pPr>
              <w:spacing w:after="0"/>
            </w:pPr>
            <w:r>
              <w:t xml:space="preserve">Off</w:t>
            </w:r>
          </w:p>
        </w:tc>
        <w:tc>
          <w:tcPr>
            <w:tcW w:type="dxa" w:w="2106"/>
          </w:tcPr>
          <w:p>
            <w:pPr>
              <w:spacing w:after="0"/>
            </w:pPr>
            <w:r>
              <w:t xml:space="preserve">Open, closes 2 days early</w:t>
            </w:r>
          </w:p>
        </w:tc>
        <w:tc>
          <w:tcPr>
            <w:tcW w:type="dxa" w:w="3978"/>
          </w:tcPr>
          <w:p>
            <w:pPr>
              <w:spacing w:after="0"/>
            </w:pPr>
            <w:r>
              <w:t xml:space="preserve">Visible, but no self sign-up</w:t>
            </w:r>
          </w:p>
        </w:tc>
      </w:tr>
      <w:tr>
        <w:trPr>
          <w:cantSplit/>
        </w:trPr>
        <w:tc>
          <w:tcPr>
            <w:tcW w:type="dxa" w:w="1170"/>
          </w:tcPr>
          <w:p>
            <w:pPr>
              <w:spacing w:after="0"/>
            </w:pPr>
            <w:r>
              <w:rPr>
                <w:b/>
                <w:bCs/>
              </w:rPr>
              <w:t xml:space="preserve">In practice</w:t>
            </w:r>
          </w:p>
        </w:tc>
        <w:tc>
          <w:tcPr>
            <w:tcW w:type="dxa" w:w="2106"/>
          </w:tcPr>
          <w:p>
            <w:pPr>
              <w:spacing w:after="0"/>
            </w:pPr>
            <w:r>
              <w:t xml:space="preserve">Never touches a public page</w:t>
            </w:r>
          </w:p>
        </w:tc>
        <w:tc>
          <w:tcPr>
            <w:tcW w:type="dxa" w:w="2106"/>
          </w:tcPr>
          <w:p>
            <w:pPr>
              <w:spacing w:after="0"/>
            </w:pPr>
            <w:r>
              <w:t xml:space="preserve">Never on a colleague's list</w:t>
            </w:r>
          </w:p>
        </w:tc>
        <w:tc>
          <w:tcPr>
            <w:tcW w:type="dxa" w:w="3978"/>
          </w:tcPr>
          <w:p>
            <w:pPr>
              <w:spacing w:after="0"/>
            </w:pPr>
            <w:r>
              <w:t xml:space="preserve">Public page shows it; you invite the guests by name</w:t>
            </w:r>
          </w:p>
        </w:tc>
      </w:tr>
    </w:tbl>
    <w:p>
      <w:pPr>
        <w:spacing w:after="0"/>
      </w:pPr>
    </w:p>
    <w:p>
      <w:pPr>
        <w:spacing w:after="160"/>
      </w:pPr>
      <w:r>
        <w:t xml:space="preserve">The partner briefing is the one that proves the switches are independent — and it
has a wrinkle worth knowing before you meet it. Turning </w:t>
      </w:r>
      <w:r>
        <w:rPr>
          <w:b/>
          <w:bCs/>
        </w:rPr>
        <w:t xml:space="preserve">off</w:t>
      </w:r>
      <w:r>
        <w:t xml:space="preserve"> external
self-registration leaves the public page saying </w:t>
      </w:r>
      <w:r>
        <w:rPr>
          <w:b/>
          <w:bCs/>
        </w:rPr>
        <w:t xml:space="preserve">No registration needed</w:t>
      </w:r>
      <w:r>
        <w:t xml:space="preserve">, which
is the same thing it says for an event that genuinely needs no sign-up. The page
is doing what it was told; it just cannot tell the two apart.</w:t>
      </w:r>
    </w:p>
    <w:p>
      <w:pPr>
        <w:spacing w:after="160"/>
      </w:pPr>
      <w:r>
        <w:rPr>
          <w:b/>
          <w:bCs/>
        </w:rPr>
        <w:t xml:space="preserve">Colleagues who sign themselves up get no email:</w:t>
      </w:r>
      <w:r>
        <w:t xml:space="preserve">
An internal sign-up sends nothing — no confirmation and no wallet pass. Their
ticket lives in </w:t>
      </w:r>
      <w:r>
        <w:rPr>
          <w:b/>
          <w:bCs/>
        </w:rPr>
        <w:t xml:space="preserve">My events</w:t>
      </w:r>
      <w:r>
        <w:t xml:space="preserve"> in the app instead. Somebody </w:t>
      </w:r>
      <w:r>
        <w:rPr>
          <w:i/>
          <w:iCs/>
        </w:rPr>
        <w:t xml:space="preserve">invited</w:t>
      </w:r>
      <w:r>
        <w:t xml:space="preserve"> by the
organiser does get both, whichever audience they belong to. See
</w:t>
      </w:r>
      <w:hyperlink w:history="1" r:id="rId2bqzlo4e2ci5opxpbwj91">
        <w:r>
          <w:rPr>
            <w:rStyle w:val="Hyperlink"/>
          </w:rPr>
          <w:t xml:space="preserve">what Offision emails a participant</w:t>
        </w:r>
      </w:hyperlink>
      <w:r>
        <w:t xml:space="preserve">.</w:t>
      </w:r>
    </w:p>
    <w:p>
      <w:pPr>
        <w:spacing w:after="200"/>
      </w:pPr>
      <w:r>
        <w:rPr>
          <w:color w:val="6E6E73"/>
          <w:sz w:val="18"/>
          <w:szCs w:val="18"/>
        </w:rPr>
        <w:t xml:space="preserve">Where in Offision: admin app → activity/public-design/event-list (Event list)</w:t>
      </w:r>
    </w:p>
    <w:p>
      <w:pPr>
        <w:pStyle w:val="Heading2"/>
      </w:pPr>
      <w:r>
        <w:t xml:space="preserve">What this does not decide</w:t>
      </w:r>
    </w:p>
    <w:p>
      <w:pPr>
        <w:pStyle w:val="ListParagraph"/>
        <w:numPr>
          <w:ilvl w:val="0"/>
          <w:numId w:val="1"/>
        </w:numPr>
        <w:spacing w:after="80"/>
      </w:pPr>
      <w:r>
        <w:rPr>
          <w:b/>
          <w:bCs/>
        </w:rPr>
        <w:t xml:space="preserve">Whether public pages exist at all.</w:t>
      </w:r>
      <w:r>
        <w:t xml:space="preserve"> That is a company-wide pair of switches,
and an event marked visible to external participants still has nowhere to be
seen if they are off — see
</w:t>
      </w:r>
      <w:hyperlink w:history="1" r:id="rIdvb4tspclrmzwmsp_li_3y">
        <w:r>
          <w:rPr>
            <w:rStyle w:val="Hyperlink"/>
          </w:rPr>
          <w:t xml:space="preserve">turning the public event pages on or off</w:t>
        </w:r>
      </w:hyperlink>
      <w:r>
        <w:t xml:space="preserve">.</w:t>
      </w:r>
    </w:p>
    <w:p>
      <w:pPr>
        <w:pStyle w:val="ListParagraph"/>
        <w:numPr>
          <w:ilvl w:val="0"/>
          <w:numId w:val="1"/>
        </w:numPr>
        <w:spacing w:after="80"/>
      </w:pPr>
      <w:r>
        <w:rPr>
          <w:b/>
          <w:bCs/>
        </w:rPr>
        <w:t xml:space="preserve">What the public page looks like.</w:t>
      </w:r>
      <w:r>
        <w:t xml:space="preserve"> The sections it shows are set on the four
</w:t>
      </w:r>
      <w:r>
        <w:rPr>
          <w:b/>
          <w:bCs/>
        </w:rPr>
        <w:t xml:space="preserve">Public page design</w:t>
      </w:r>
      <w:r>
        <w:t xml:space="preserve"> pages, and adjusted per event.</w:t>
      </w:r>
    </w:p>
    <w:p>
      <w:pPr>
        <w:pStyle w:val="ListParagraph"/>
        <w:numPr>
          <w:ilvl w:val="0"/>
          <w:numId w:val="1"/>
        </w:numPr>
        <w:spacing w:after="80"/>
      </w:pPr>
      <w:r>
        <w:rPr>
          <w:b/>
          <w:bCs/>
        </w:rPr>
        <w:t xml:space="preserve">Which of the two an individual belongs to.</w:t>
      </w:r>
      <w:r>
        <w:t xml:space="preserve"> That is decided by whether they
have an Offision account, not by how they were invited.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4cj3ormtvl28jtxklsiy" Type="http://schemas.openxmlformats.org/officeDocument/2006/relationships/hyperlink" Target="https://offision.com/help/en/events/internal-and-external-events/" TargetMode="External"/><Relationship Id="rId2bqzlo4e2ci5opxpbwj91" Type="http://schemas.openxmlformats.org/officeDocument/2006/relationships/hyperlink" Target="/en/events/what-offision-emails-a-participant/" TargetMode="External"/><Relationship Id="rIdvb4tspclrmzwmsp_li_3y" Type="http://schemas.openxmlformats.org/officeDocument/2006/relationships/hyperlink" Target="/en/events/turn-the-public-event-pages-on-or-off/" TargetMode="External"/><Relationship Id="rId7" Type="http://schemas.openxmlformats.org/officeDocument/2006/relationships/image" Target="media/5a083a5f75e582c7bd321eade1edf70d7d69a20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events and external events</dc:title>
  <dc:creator>Offision</dc:creator>
  <cp:lastModifiedBy>Un-named</cp:lastModifiedBy>
  <cp:revision>1</cp:revision>
  <dcterms:created xsi:type="dcterms:W3CDTF">2026-09-28T17:07:30.209Z</dcterms:created>
  <dcterms:modified xsi:type="dcterms:W3CDTF">2026-09-28T17:07:30.209Z</dcterms:modified>
</cp:coreProperties>
</file>

<file path=docProps/custom.xml><?xml version="1.0" encoding="utf-8"?>
<Properties xmlns="http://schemas.openxmlformats.org/officeDocument/2006/custom-properties" xmlns:vt="http://schemas.openxmlformats.org/officeDocument/2006/docPropsVTypes"/>
</file>