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What counts as a no-show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Only bookings that reached their check-in deadline unattended are counted — cancelling is not a no-show. One setting can make the whole number untrue.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-x0zff86xy8p7pubw3lxd">
        <w:r>
          <w:rPr>
            <w:rStyle w:val="Hyperlink"/>
            <w:color w:val="6E6E73"/>
            <w:sz w:val="18"/>
            <w:szCs w:val="18"/>
          </w:rPr>
          <w:t xml:space="preserve">https://offision.com/help/en/booking/what-counts-as-a-no-show/</w:t>
        </w:r>
      </w:hyperlink>
    </w:p>
    <w:p>
      <w:pPr>
        <w:spacing w:after="160"/>
      </w:pPr>
      <w:r>
        <w:t xml:space="preserve">A no-show is a booking that reached its check-in deadline with nobody having checked
in, and was released. That is the whole definition, and keeping it narrow is what
makes the rate comparable between rooms and between months.</w:t>
      </w:r>
    </w:p>
    <w:p>
      <w:pPr>
        <w:pStyle w:val="Heading2"/>
      </w:pPr>
      <w:r>
        <w:t xml:space="preserve">Cancelling is not a no-show</w:t>
      </w:r>
    </w:p>
    <w:p>
      <w:pPr>
        <w:spacing w:after="160"/>
      </w:pPr>
      <w:r>
        <w:t xml:space="preserve">This is the question people ask first, and the answer is the one that makes the
number fair. A cancelled booking is not counted as a no-show — and it does not count
in the total either, so cancelling does not quietly improve anyone's rate by padding
the denominator.</w:t>
      </w:r>
    </w:p>
    <w:p>
      <w:pPr>
        <w:spacing w:after="160"/>
      </w:pPr>
      <w:r>
        <w:t xml:space="preserve">What is counted is bookings that were used, are in use, or were released unattended.
Someone who cancels at nine in the morning has given the room back; the figures treat
that as the good outcome it is.</w:t>
      </w:r>
    </w:p>
    <w:p>
      <w:pPr>
        <w:spacing w:after="160"/>
      </w:pPr>
      <w:r>
        <w:t xml:space="preserve">That is also the reason a room may be set to stop accepting cancellations once its
check-in window has opened: from that point the booking is committed, and one nobody
turns up for is recorded as the no-show it was rather than disappearing from both
sides of the sum. See
</w:t>
      </w:r>
      <w:hyperlink w:history="1" r:id="rIdo4yvpduqtwmplydbimotv">
        <w:r>
          <w:rPr>
            <w:rStyle w:val="Hyperlink"/>
          </w:rPr>
          <w:t xml:space="preserve">the resource policy reference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A sensor check-in counts as attendance.</w:t>
      </w:r>
      <w:r>
        <w:t xml:space="preserve"> Where a room checks itself in because
somebody is sitting in it, that is a real check-in and never a no-show — so switching
sensors on genuinely lowers the rate rather than hiding anything.</w:t>
      </w:r>
    </w:p>
    <w:p>
      <w:pPr>
        <w:pStyle w:val="Heading2"/>
      </w:pPr>
      <w:r>
        <w:t xml:space="preserve">One setting can make the whole number untrue</w:t>
      </w:r>
    </w:p>
    <w:p>
      <w:pPr>
        <w:spacing w:after="160"/>
      </w:pPr>
      <w:r>
        <w:rPr>
          <w:b/>
          <w:bCs/>
        </w:rPr>
        <w:t xml:space="preserve">Show check-in button in User Portal</w:t>
      </w:r>
      <w:r>
        <w:t xml:space="preserve"> lets people check in from the app, wherever
they are. It is a convenience, and the product warns about it on the settings page
itself, because a room can then be claimed from home by somebody who never arrives.</w:t>
      </w:r>
    </w:p>
    <w:p>
      <w:pPr>
        <w:spacing w:after="160"/>
      </w:pPr>
      <w:r>
        <w:t xml:space="preserve">Anyone reading a no-show rate should know whether that is on. If it is, two settings
put the honesty back without removing the convenience: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GPS check-in</w:t>
      </w:r>
      <w:r>
        <w:t xml:space="preserve">, which requires the phone to be near the building.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User Portal check-in IP restriction</w:t>
      </w:r>
      <w:r>
        <w:t xml:space="preserve">, which requires it to be on your network.</w:t>
      </w:r>
    </w:p>
    <w:p>
      <w:pPr>
        <w:spacing w:after="160"/>
      </w:pPr>
      <w:r>
        <w:t xml:space="preserve">Both are covered in
</w:t>
      </w:r>
      <w:hyperlink w:history="1" r:id="rIdrsx6cfwfboeoezg9thxwf">
        <w:r>
          <w:rPr>
            <w:rStyle w:val="Hyperlink"/>
          </w:rPr>
          <w:t xml:space="preserve">Checking in by QR code, and proving you are there</w:t>
        </w:r>
      </w:hyperlink>
      <w:r>
        <w:t xml:space="preserve">.</w:t>
      </w:r>
    </w:p>
    <w:p>
      <w:pPr>
        <w:pStyle w:val="Heading2"/>
      </w:pPr>
      <w:r>
        <w:t xml:space="preserve">Where the numbers are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booking/no-show-analytics (No show analytics)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90875"/>
            <wp:effectExtent t="0" r="0" b="0" l="0"/>
            <wp:docPr id="1" name="no-show-analytics-page" descr="Total no-shows, the rate, the total booked against it, and the worst-affected resource." title="Total no-shows, the rate, the total booked against it, and the worst-affected resour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Total no-shows, the rate, the total booked against it, and the worst-affected resource.</w:t>
      </w:r>
    </w:p>
    <w:p>
      <w:pPr>
        <w:spacing w:after="160"/>
      </w:pPr>
      <w:r>
        <w:t xml:space="preserve">The page is filtered by period and by floor, and split by resource type, so meeting
rooms and desks can be judged separately — which matters, because they fail
differently.</w:t>
      </w:r>
    </w:p>
    <w:p>
      <w:pPr>
        <w:spacing w:after="160"/>
      </w:pPr>
      <w:r>
        <w:t xml:space="preserve">Two other places show the same story more briefly: a card on the booking overview,
and a </w:t>
      </w:r>
      <w:r>
        <w:rPr>
          <w:b/>
          <w:bCs/>
        </w:rPr>
        <w:t xml:space="preserve">No-show rate</w:t>
      </w:r>
      <w:r>
        <w:t xml:space="preserve"> trend chart among the booking reports.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4800600"/>
            <wp:effectExtent t="0" r="0" b="0" l="0"/>
            <wp:docPr id="1" name="no-show-overview-card" descr="The overview card: the rate, which way it is moving, and attended against no-shows." title="The overview card: the rate, which way it is moving, and attended against no-show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overview card: the rate, which way it is moving, and attended against no-shows.</w:t>
      </w:r>
    </w:p>
    <w:p>
      <w:pPr>
        <w:pStyle w:val="Heading2"/>
      </w:pPr>
      <w:r>
        <w:t xml:space="preserve">Seeing it by department</w:t>
      </w:r>
    </w:p>
    <w:p>
      <w:pPr>
        <w:spacing w:after="160"/>
      </w:pPr>
      <w:r>
        <w:t xml:space="preserve">The user ranking opens with rank, user, count and rate — a list of people, which is
rarely the question worth asking. </w:t>
      </w:r>
      <w:r>
        <w:rPr>
          <w:b/>
          <w:bCs/>
        </w:rPr>
        <w:t xml:space="preserve">Department</w:t>
      </w:r>
      <w:r>
        <w:t xml:space="preserve"> is one of the optional columns behind
the ranking's column selector, along with staff ID, email, phone number and each user
group category.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43225"/>
            <wp:effectExtent t="0" r="0" b="0" l="0"/>
            <wp:docPr id="1" name="no-show-ranking-columns" descr="The ranking's column selector, where Department lives." title="The ranking's column selector, where Department liv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ranking's column selector, where Department lives.</w:t>
      </w:r>
    </w:p>
    <w:p>
      <w:pPr>
        <w:spacing w:after="160"/>
      </w:pPr>
      <w:r>
        <w:t xml:space="preserve">Switch it on and the same table answers which teams are abandoning rooms rather than
which individuals — usually the more actionable version, and a much easier
conversation to have. The choice is remembered for you, and it is carried into the
Excel export, so a departmental report is a toggle rather than a spreadsheet job.</w:t>
      </w:r>
    </w:p>
    <w:p>
      <w:pPr>
        <w:spacing w:after="160"/>
      </w:pPr>
      <w:r>
        <w:t xml:space="preserve">The figures are also scoped to the part of the organisation you administer, so two
admins can read the same page and correctly see different numbers.</w:t>
      </w:r>
    </w:p>
    <w:p>
      <w:pPr>
        <w:pStyle w:val="Heading2"/>
      </w:pPr>
      <w:r>
        <w:t xml:space="preserve">The log records the release, not the booking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09800"/>
            <wp:effectExtent t="0" r="0" b="0" l="0"/>
            <wp:docPr id="1" name="no-show-log-table" descr="Every release, with the time it happened." title="Every release, with the time it happen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Every release, with the time it happened.</w:t>
      </w:r>
    </w:p>
    <w:p>
      <w:pPr>
        <w:spacing w:after="160"/>
      </w:pPr>
      <w:r>
        <w:t xml:space="preserve">The </w:t>
      </w:r>
      <w:r>
        <w:rPr>
          <w:b/>
          <w:bCs/>
        </w:rPr>
        <w:t xml:space="preserve">Time</w:t>
      </w:r>
      <w:r>
        <w:t xml:space="preserve"> column is the moment the booking was released, not the moment it was due
to start. They differ by exactly the check-in grace period, which is worth
remembering before reconciling the log against a calendar.</w:t>
      </w:r>
    </w:p>
    <w:p>
      <w:pPr>
        <w:pStyle w:val="Heading2"/>
      </w:pPr>
      <w:r>
        <w:t xml:space="preserve">Nobody finds out only from a report</w:t>
      </w:r>
    </w:p>
    <w:p>
      <w:pPr>
        <w:spacing w:after="160"/>
      </w:pPr>
      <w:r>
        <w:t xml:space="preserve">The organiser is told twice, in the app and by email — once when the resource becomes
ready to check into, and again when it has been released.</w:t>
      </w:r>
    </w:p>
    <w:p>
      <w:pPr>
        <w:spacing w:after="160"/>
      </w:pPr>
      <w:r>
        <w:t xml:space="preserve">So a name on the ranking is somebody who has already been told, twice, every time.
That is worth knowing before using the list as evidence — and worth checking, since
both emails can be switched off for the whole organisation.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booking/email-reminder (Email reminder settings)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14600"/>
            <wp:effectExtent t="0" r="0" b="0" l="0"/>
            <wp:docPr id="1" name="no-show-reminder-settings" descr="Both ends of the window have a reminder, and both can be turned off." title="Both ends of the window have a reminder, and both can be turned of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Both ends of the window have a reminder, and both can be turned off.</w:t>
      </w:r>
    </w:p>
    <w:p>
      <w:pPr>
        <w:spacing w:after="160"/>
      </w:pPr>
      <w:r>
        <w:rPr>
          <w:b/>
          <w:bCs/>
        </w:rPr>
        <w:t xml:space="preserve">Turning the reminders off does not change the count:</w:t>
      </w:r>
      <w:r>
        <w:t xml:space="preserve">
The emails are notifications about the release, not part of it. A room is released,
and counted, whether or not anyone was told.</w:t>
      </w:r>
    </w:p>
    <w:p>
      <w:pPr>
        <w:pStyle w:val="Heading2"/>
      </w:pPr>
      <w:r>
        <w:t xml:space="preserve">What it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cause anything.</w:t>
      </w:r>
      <w:r>
        <w:t xml:space="preserve"> Analytics only reports. Turning the page off, or
never opening it, does not stop a single room being released.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include bookings that were never released.</w:t>
      </w:r>
      <w:r>
        <w:t xml:space="preserve"> A room held for its full
duration by somebody who did not turn up is not a no-show — it is a booking on a
policy that does not require check-in, and it is invisible here.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Quota is not part of this.</w:t>
      </w:r>
      <w:r>
        <w:t xml:space="preserve"> A no-show forfeits its quota, and that is recorded in
the quota usage history rather than in these figures.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tell you why.</w:t>
      </w:r>
      <w:r>
        <w:t xml:space="preserve"> A high rate on one room is a question — about its
policy, its window, or the way people book it — not an answer.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-x0zff86xy8p7pubw3lxd" Type="http://schemas.openxmlformats.org/officeDocument/2006/relationships/hyperlink" Target="https://offision.com/help/en/booking/what-counts-as-a-no-show/" TargetMode="External"/><Relationship Id="rIdo4yvpduqtwmplydbimotv" Type="http://schemas.openxmlformats.org/officeDocument/2006/relationships/hyperlink" Target="../resource-policy-reference/" TargetMode="External"/><Relationship Id="rIdrsx6cfwfboeoezg9thxwf" Type="http://schemas.openxmlformats.org/officeDocument/2006/relationships/hyperlink" Target="../check-in-by-qr-code-and-gps/" TargetMode="External"/><Relationship Id="rId7" Type="http://schemas.openxmlformats.org/officeDocument/2006/relationships/image" Target="media/db340faff72e6d3d8984da04d476accddfb5aec2.png"/><Relationship Id="rId8" Type="http://schemas.openxmlformats.org/officeDocument/2006/relationships/image" Target="media/5fd74d5334b4fbc4cca711f8aaafe219278694c5.png"/><Relationship Id="rId9" Type="http://schemas.openxmlformats.org/officeDocument/2006/relationships/image" Target="media/7c40988b3d217dbcbc12dc99c188b8222a9b3b83.png"/><Relationship Id="rId10" Type="http://schemas.openxmlformats.org/officeDocument/2006/relationships/image" Target="media/941e0f87973f79c81bf5e40fb66b700ceca0aa57.png"/><Relationship Id="rId11" Type="http://schemas.openxmlformats.org/officeDocument/2006/relationships/image" Target="media/24af61459a3433d178bb9448a2abe93842a62412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counts as a no-show</dc:title>
  <dc:creator>Offision</dc:creator>
  <cp:lastModifiedBy>Un-named</cp:lastModifiedBy>
  <cp:revision>1</cp:revision>
  <dcterms:created xsi:type="dcterms:W3CDTF">2026-09-09T10:22:19.573Z</dcterms:created>
  <dcterms:modified xsi:type="dcterms:W3CDTF">2026-09-09T10:22:19.573Z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