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Check what someone's quota was spent on</w:t>
      </w:r>
    </w:p>
    <w:p>
      <w:pPr>
        <w:spacing w:after="120"/>
      </w:pPr>
      <w:r>
        <w:rPr>
          <w:color w:val="6E6E73"/>
          <w:sz w:val="24"/>
          <w:szCs w:val="24"/>
        </w:rPr>
        <w:t xml:space="preserve">Every charge and every refund quota has ever made, on one screen. Filter it to one person, one resource or one unit, open a receipt to see what was actually spent and by whom, and download the range as a spreadsheet.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rzepkdvr51glgfzlqbwpm">
        <w:r>
          <w:rPr>
            <w:rStyle w:val="Hyperlink"/>
            <w:color w:val="6E6E73"/>
            <w:sz w:val="18"/>
            <w:szCs w:val="18"/>
          </w:rPr>
          <w:t xml:space="preserve">https://offision.com/help/en/booking/read-the-quota-usage-history/</w:t>
        </w:r>
      </w:hyperlink>
    </w:p>
    <w:p>
      <w:pPr>
        <w:spacing w:after="160"/>
      </w:pPr>
      <w:r>
        <w:t xml:space="preserve">Somebody says their balance is wrong. </w:t>
      </w:r>
      <w:r>
        <w:rPr>
          <w:b/>
          <w:bCs/>
        </w:rPr>
        <w:t xml:space="preserve">Quota usage history</w:t>
      </w:r>
      <w:r>
        <w:t xml:space="preserve"> is where that gets
settled: every charge and every refund quota has ever made, each one stamped
with when it happened, which booking caused it, and whose balance it came out
of.</w:t>
      </w:r>
    </w:p>
    <w:p>
      <w:pPr>
        <w:spacing w:after="160"/>
      </w:pPr>
      <w:r>
        <w:t xml:space="preserve">It is a ledger, not a statement. It tells you what moved and why — never what
anybody has left.</w:t>
      </w:r>
    </w:p>
    <w:p>
      <w:pPr>
        <w:spacing w:after="160"/>
      </w:pPr>
      <w:r>
        <w:rPr>
          <w:b/>
          <w:bCs/>
        </w:rPr>
        <w:t xml:space="preserve">Before you start:</w:t>
      </w:r>
      <w:r>
        <w:t xml:space="preserve">
You need </w:t>
      </w:r>
      <w:r>
        <w:rPr>
          <w:b/>
          <w:bCs/>
        </w:rPr>
        <w:t xml:space="preserve">Booking manager</w:t>
      </w:r>
      <w:r>
        <w:t xml:space="preserve"> read permission, and quota has to be switched on
for your site.</w:t>
      </w:r>
    </w:p>
    <w:p>
      <w:pPr>
        <w:pStyle w:val="Heading2"/>
      </w:pPr>
      <w:r>
        <w:t xml:space="preserve">1. Open Quota usage history</w:t>
      </w:r>
    </w:p>
    <w:p>
      <w:pPr>
        <w:spacing w:after="160"/>
      </w:pPr>
      <w:r>
        <w:t xml:space="preserve">In the </w:t>
      </w:r>
      <w:r>
        <w:rPr>
          <w:b/>
          <w:bCs/>
        </w:rPr>
        <w:t xml:space="preserve">Booking</w:t>
      </w:r>
      <w:r>
        <w:t xml:space="preserve"> module it sits under </w:t>
      </w:r>
      <w:r>
        <w:rPr>
          <w:b/>
          <w:bCs/>
        </w:rPr>
        <w:t xml:space="preserve">Logs</w:t>
      </w:r>
      <w:r>
        <w:t xml:space="preserve">, next to the booking log — but
it is not one of the pinned entries, so choose </w:t>
      </w:r>
      <w:r>
        <w:rPr>
          <w:b/>
          <w:bCs/>
        </w:rPr>
        <w:t xml:space="preserve">Show more</w:t>
      </w:r>
      <w:r>
        <w:t xml:space="preserve"> first.</w:t>
      </w:r>
    </w:p>
    <w:p>
      <w:pPr>
        <w:spacing w:after="200"/>
      </w:pPr>
      <w:r>
        <w:rPr>
          <w:color w:val="6E6E73"/>
          <w:sz w:val="18"/>
          <w:szCs w:val="18"/>
        </w:rPr>
        <w:t xml:space="preserve">Where in Offision: admin app → booking/quota-history (Quota usage history)</w:t>
      </w:r>
    </w:p>
    <w:p>
      <w:pPr>
        <w:spacing w:after="160"/>
      </w:pPr>
      <w:r>
        <w:t xml:space="preserve">It opens on the whole estate, newest first, with </w:t>
      </w:r>
      <w:r>
        <w:rPr>
          <w:b/>
          <w:bCs/>
        </w:rPr>
        <w:t xml:space="preserve">no date filter applied</w:t>
      </w:r>
      <w:r>
        <w:t xml:space="preserve">.
That first view is every charge and refund ever recorded, so it is not somewhere
to browse — it is somewhere to look one thing up.</w:t>
      </w:r>
    </w:p>
    <w:p>
      <w:pPr>
        <w:spacing w:after="60" w:before="160"/>
        <w:jc w:val="center"/>
      </w:pPr>
      <w:r>
        <w:drawing>
          <wp:inline distT="0" distB="0" distL="0" distR="0">
            <wp:extent cx="5715000" cy="1552575"/>
            <wp:effectExtent t="0" r="0" b="0" l="0"/>
            <wp:docPr id="1" name="quota-history-list" descr="The ledger at rest: one row per charge or refund, newest at the top." title="The ledger at rest: one row per charge or refund, newest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552575"/>
                    </a:xfrm>
                    <a:prstGeom prst="rect">
                      <a:avLst/>
                    </a:prstGeom>
                  </pic:spPr>
                </pic:pic>
              </a:graphicData>
            </a:graphic>
          </wp:inline>
        </w:drawing>
      </w:r>
    </w:p>
    <w:p>
      <w:pPr>
        <w:spacing w:after="240"/>
        <w:jc w:val="center"/>
      </w:pPr>
      <w:r>
        <w:rPr>
          <w:i/>
          <w:iCs/>
          <w:color w:val="6E6E73"/>
          <w:sz w:val="18"/>
          <w:szCs w:val="18"/>
        </w:rPr>
        <w:t xml:space="preserve">The ledger at rest: one row per charge or refund, newest at the top.</w:t>
      </w:r>
    </w:p>
    <w:p>
      <w:pPr>
        <w:pStyle w:val="Heading2"/>
      </w:pPr>
      <w:r>
        <w:t xml:space="preserve">2. Narrow it to the question you were asked</w:t>
      </w:r>
    </w:p>
    <w:p>
      <w:pPr>
        <w:spacing w:after="160"/>
      </w:pPr>
      <w:r>
        <w:t xml:space="preserve">There is no search box. The filters live </w:t>
      </w:r>
      <w:r>
        <w:rPr>
          <w:b/>
          <w:bCs/>
        </w:rPr>
        <w:t xml:space="preserve">in the column headers</w:t>
      </w:r>
      <w:r>
        <w:t xml:space="preserve"> — a funnel
appears on the four that carry one, and the header itself is the control:</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29"/>
        <w:gridCol w:w="7131"/>
      </w:tblGrid>
      <w:tr>
        <w:trPr>
          <w:cantSplit/>
          <w:tblHeader/>
        </w:trPr>
        <w:tc>
          <w:tcPr>
            <w:tcW w:type="dxa" w:w="2229"/>
            <w:shd w:fill="F5F5F7" w:val="clear"/>
          </w:tcPr>
          <w:p>
            <w:pPr>
              <w:spacing w:after="0"/>
            </w:pPr>
            <w:r>
              <w:rPr>
                <w:b/>
                <w:bCs/>
              </w:rPr>
              <w:t xml:space="preserve">Header</w:t>
            </w:r>
          </w:p>
        </w:tc>
        <w:tc>
          <w:tcPr>
            <w:tcW w:type="dxa" w:w="7131"/>
            <w:shd w:fill="F5F5F7" w:val="clear"/>
          </w:tcPr>
          <w:p>
            <w:pPr>
              <w:spacing w:after="0"/>
            </w:pPr>
            <w:r>
              <w:rPr>
                <w:b/>
                <w:bCs/>
              </w:rPr>
              <w:t xml:space="preserve">Narrows to</w:t>
            </w:r>
          </w:p>
        </w:tc>
      </w:tr>
      <w:tr>
        <w:trPr>
          <w:cantSplit/>
        </w:trPr>
        <w:tc>
          <w:tcPr>
            <w:tcW w:type="dxa" w:w="2229"/>
          </w:tcPr>
          <w:p>
            <w:pPr>
              <w:spacing w:after="0"/>
            </w:pPr>
            <w:r>
              <w:rPr>
                <w:b/>
                <w:bCs/>
              </w:rPr>
              <w:t xml:space="preserve">Time</w:t>
            </w:r>
          </w:p>
        </w:tc>
        <w:tc>
          <w:tcPr>
            <w:tcW w:type="dxa" w:w="7131"/>
          </w:tcPr>
          <w:p>
            <w:pPr>
              <w:spacing w:after="0"/>
            </w:pPr>
            <w:r>
              <w:t xml:space="preserve">a date range. Nothing is set when the page opens</w:t>
            </w:r>
          </w:p>
        </w:tc>
      </w:tr>
      <w:tr>
        <w:trPr>
          <w:cantSplit/>
        </w:trPr>
        <w:tc>
          <w:tcPr>
            <w:tcW w:type="dxa" w:w="2229"/>
          </w:tcPr>
          <w:p>
            <w:pPr>
              <w:spacing w:after="0"/>
            </w:pPr>
            <w:r>
              <w:rPr>
                <w:b/>
                <w:bCs/>
              </w:rPr>
              <w:t xml:space="preserve">Action user</w:t>
            </w:r>
          </w:p>
        </w:tc>
        <w:tc>
          <w:tcPr>
            <w:tcW w:type="dxa" w:w="7131"/>
          </w:tcPr>
          <w:p>
            <w:pPr>
              <w:spacing w:after="0"/>
            </w:pPr>
            <w:r>
              <w:t xml:space="preserve">one or more people — but see the note below</w:t>
            </w:r>
          </w:p>
        </w:tc>
      </w:tr>
      <w:tr>
        <w:trPr>
          <w:cantSplit/>
        </w:trPr>
        <w:tc>
          <w:tcPr>
            <w:tcW w:type="dxa" w:w="2229"/>
          </w:tcPr>
          <w:p>
            <w:pPr>
              <w:spacing w:after="0"/>
            </w:pPr>
            <w:r>
              <w:rPr>
                <w:b/>
                <w:bCs/>
              </w:rPr>
              <w:t xml:space="preserve">Resources</w:t>
            </w:r>
          </w:p>
        </w:tc>
        <w:tc>
          <w:tcPr>
            <w:tcW w:type="dxa" w:w="7131"/>
          </w:tcPr>
          <w:p>
            <w:pPr>
              <w:spacing w:after="0"/>
            </w:pPr>
            <w:r>
              <w:t xml:space="preserve">one or more rooms, desks or other resources</w:t>
            </w:r>
          </w:p>
        </w:tc>
      </w:tr>
      <w:tr>
        <w:trPr>
          <w:cantSplit/>
        </w:trPr>
        <w:tc>
          <w:tcPr>
            <w:tcW w:type="dxa" w:w="2229"/>
          </w:tcPr>
          <w:p>
            <w:pPr>
              <w:spacing w:after="0"/>
            </w:pPr>
            <w:r>
              <w:rPr>
                <w:b/>
                <w:bCs/>
              </w:rPr>
              <w:t xml:space="preserve">Amount</w:t>
            </w:r>
          </w:p>
        </w:tc>
        <w:tc>
          <w:tcPr>
            <w:tcW w:type="dxa" w:w="7131"/>
          </w:tcPr>
          <w:p>
            <w:pPr>
              <w:spacing w:after="0"/>
            </w:pPr>
            <w:r>
              <w:t xml:space="preserve">one or more quota units</w:t>
            </w:r>
          </w:p>
        </w:tc>
      </w:tr>
    </w:tbl>
    <w:p>
      <w:pPr>
        <w:spacing w:after="0"/>
      </w:pPr>
    </w:p>
    <w:p>
      <w:pPr>
        <w:spacing w:after="60" w:before="160"/>
        <w:jc w:val="center"/>
      </w:pPr>
      <w:r>
        <w:drawing>
          <wp:inline distT="0" distB="0" distL="0" distR="0">
            <wp:extent cx="5715000" cy="1600200"/>
            <wp:effectExtent t="0" r="0" b="0" l="0"/>
            <wp:docPr id="1" name="quota-history-filters" descr="Each funnel opens a picker; the one on Amount lists the quota units in use." title="Each funnel opens a picker; the one on Amount lists the quota units in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00200"/>
                    </a:xfrm>
                    <a:prstGeom prst="rect">
                      <a:avLst/>
                    </a:prstGeom>
                  </pic:spPr>
                </pic:pic>
              </a:graphicData>
            </a:graphic>
          </wp:inline>
        </w:drawing>
      </w:r>
    </w:p>
    <w:p>
      <w:pPr>
        <w:spacing w:after="240"/>
        <w:jc w:val="center"/>
      </w:pPr>
      <w:r>
        <w:rPr>
          <w:i/>
          <w:iCs/>
          <w:color w:val="6E6E73"/>
          <w:sz w:val="18"/>
          <w:szCs w:val="18"/>
        </w:rPr>
        <w:t xml:space="preserve">Each funnel opens a picker; the one on Amount lists the quota units in use.</w:t>
      </w:r>
    </w:p>
    <w:p>
      <w:pPr>
        <w:spacing w:after="160"/>
      </w:pPr>
      <w:r>
        <w:rPr>
          <w:b/>
          <w:bCs/>
        </w:rPr>
        <w:t xml:space="preserve">The filter under Action user is not about the column above it:</w:t>
      </w:r>
      <w:r>
        <w:t xml:space="preserve">
The column shows who </w:t>
      </w:r>
      <w:r>
        <w:rPr>
          <w:b/>
          <w:bCs/>
        </w:rPr>
        <w:t xml:space="preserve">performed</w:t>
      </w:r>
      <w:r>
        <w:t xml:space="preserve"> the action. The filter selects by whose
</w:t>
      </w:r>
      <w:r>
        <w:rPr>
          <w:b/>
          <w:bCs/>
        </w:rPr>
        <w:t xml:space="preserve">balance was charged</w:t>
      </w:r>
      <w:r>
        <w:t xml:space="preserve">. Those are the same person whenever somebody books for
themselves, and different every time an administrator books on somebody's
behalf — so filtering for a colleague can return rows whose Action user is you.
When you are asked "where did my quota go", the filter is the one you want.</w:t>
      </w:r>
    </w:p>
    <w:p>
      <w:pPr>
        <w:spacing w:after="160"/>
      </w:pPr>
      <w:r>
        <w:t xml:space="preserve">Filters combine, and a filtered view that finds nothing offers to clear them
rather than looking broken.</w:t>
      </w:r>
    </w:p>
    <w:p>
      <w:pPr>
        <w:pStyle w:val="Heading2"/>
      </w:pPr>
      <w:r>
        <w:t xml:space="preserve">3. Read a row</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72"/>
        <w:gridCol w:w="7488"/>
      </w:tblGrid>
      <w:tr>
        <w:trPr>
          <w:cantSplit/>
          <w:tblHeader/>
        </w:trPr>
        <w:tc>
          <w:tcPr>
            <w:tcW w:type="dxa" w:w="1872"/>
            <w:shd w:fill="F5F5F7" w:val="clear"/>
          </w:tcPr>
          <w:p>
            <w:pPr>
              <w:spacing w:after="0"/>
            </w:pPr>
            <w:r>
              <w:rPr>
                <w:b/>
                <w:bCs/>
              </w:rPr>
              <w:t xml:space="preserve">Column</w:t>
            </w:r>
          </w:p>
        </w:tc>
        <w:tc>
          <w:tcPr>
            <w:tcW w:type="dxa" w:w="7488"/>
            <w:shd w:fill="F5F5F7" w:val="clear"/>
          </w:tcPr>
          <w:p>
            <w:pPr>
              <w:spacing w:after="0"/>
            </w:pPr>
            <w:r>
              <w:rPr>
                <w:b/>
                <w:bCs/>
              </w:rPr>
              <w:t xml:space="preserve">What it holds</w:t>
            </w:r>
          </w:p>
        </w:tc>
      </w:tr>
      <w:tr>
        <w:trPr>
          <w:cantSplit/>
        </w:trPr>
        <w:tc>
          <w:tcPr>
            <w:tcW w:type="dxa" w:w="1872"/>
          </w:tcPr>
          <w:p>
            <w:pPr>
              <w:spacing w:after="0"/>
            </w:pPr>
            <w:r>
              <w:rPr>
                <w:b/>
                <w:bCs/>
              </w:rPr>
              <w:t xml:space="preserve">Time</w:t>
            </w:r>
          </w:p>
        </w:tc>
        <w:tc>
          <w:tcPr>
            <w:tcW w:type="dxa" w:w="7488"/>
          </w:tcPr>
          <w:p>
            <w:pPr>
              <w:spacing w:after="0"/>
            </w:pPr>
            <w:r>
              <w:t xml:space="preserve">When the quota moved — how long ago, with the exact time under it. This is when the booking was </w:t>
            </w:r>
            <w:r>
              <w:rPr>
                <w:i/>
                <w:iCs/>
              </w:rPr>
              <w:t xml:space="preserve">saved</w:t>
            </w:r>
            <w:r>
              <w:t xml:space="preserve">, not when the meeting is</w:t>
            </w:r>
          </w:p>
        </w:tc>
      </w:tr>
      <w:tr>
        <w:trPr>
          <w:cantSplit/>
        </w:trPr>
        <w:tc>
          <w:tcPr>
            <w:tcW w:type="dxa" w:w="1872"/>
          </w:tcPr>
          <w:p>
            <w:pPr>
              <w:spacing w:after="0"/>
            </w:pPr>
            <w:r>
              <w:rPr>
                <w:b/>
                <w:bCs/>
              </w:rPr>
              <w:t xml:space="preserve">Action user</w:t>
            </w:r>
          </w:p>
        </w:tc>
        <w:tc>
          <w:tcPr>
            <w:tcW w:type="dxa" w:w="7488"/>
          </w:tcPr>
          <w:p>
            <w:pPr>
              <w:spacing w:after="0"/>
            </w:pPr>
            <w:r>
              <w:t xml:space="preserve">Who made the change</w:t>
            </w:r>
          </w:p>
        </w:tc>
      </w:tr>
      <w:tr>
        <w:trPr>
          <w:cantSplit/>
        </w:trPr>
        <w:tc>
          <w:tcPr>
            <w:tcW w:type="dxa" w:w="1872"/>
          </w:tcPr>
          <w:p>
            <w:pPr>
              <w:spacing w:after="0"/>
            </w:pPr>
            <w:r>
              <w:rPr>
                <w:b/>
                <w:bCs/>
              </w:rPr>
              <w:t xml:space="preserve">Booking</w:t>
            </w:r>
          </w:p>
        </w:tc>
        <w:tc>
          <w:tcPr>
            <w:tcW w:type="dxa" w:w="7488"/>
          </w:tcPr>
          <w:p>
            <w:pPr>
              <w:spacing w:after="0"/>
            </w:pPr>
            <w:r>
              <w:t xml:space="preserve">The booking's subject, with the period it covers underneath</w:t>
            </w:r>
          </w:p>
        </w:tc>
      </w:tr>
      <w:tr>
        <w:trPr>
          <w:cantSplit/>
        </w:trPr>
        <w:tc>
          <w:tcPr>
            <w:tcW w:type="dxa" w:w="1872"/>
          </w:tcPr>
          <w:p>
            <w:pPr>
              <w:spacing w:after="0"/>
            </w:pPr>
            <w:r>
              <w:rPr>
                <w:b/>
                <w:bCs/>
              </w:rPr>
              <w:t xml:space="preserve">Resources</w:t>
            </w:r>
          </w:p>
        </w:tc>
        <w:tc>
          <w:tcPr>
            <w:tcW w:type="dxa" w:w="7488"/>
          </w:tcPr>
          <w:p>
            <w:pPr>
              <w:spacing w:after="0"/>
            </w:pPr>
            <w:r>
              <w:t xml:space="preserve">What was booked. Only the first three are named; any others are shown as a count, such as </w:t>
            </w:r>
            <w:r>
              <w:rPr>
                <w:b/>
                <w:bCs/>
              </w:rPr>
              <w:t xml:space="preserve">+2</w:t>
            </w:r>
          </w:p>
        </w:tc>
      </w:tr>
      <w:tr>
        <w:trPr>
          <w:cantSplit/>
        </w:trPr>
        <w:tc>
          <w:tcPr>
            <w:tcW w:type="dxa" w:w="1872"/>
          </w:tcPr>
          <w:p>
            <w:pPr>
              <w:spacing w:after="0"/>
            </w:pPr>
            <w:r>
              <w:rPr>
                <w:b/>
                <w:bCs/>
              </w:rPr>
              <w:t xml:space="preserve">Amount</w:t>
            </w:r>
          </w:p>
        </w:tc>
        <w:tc>
          <w:tcPr>
            <w:tcW w:type="dxa" w:w="7488"/>
          </w:tcPr>
          <w:p>
            <w:pPr>
              <w:spacing w:after="0"/>
            </w:pPr>
            <w:r>
              <w:t xml:space="preserve">What moved, one line per quota unit</w:t>
            </w:r>
          </w:p>
        </w:tc>
      </w:tr>
    </w:tbl>
    <w:p>
      <w:pPr>
        <w:spacing w:after="0"/>
      </w:pPr>
    </w:p>
    <w:p>
      <w:pPr>
        <w:spacing w:after="160"/>
      </w:pPr>
      <w:r>
        <w:rPr>
          <w:b/>
          <w:bCs/>
        </w:rPr>
        <w:t xml:space="preserve">Amount is the row's net effect.</w:t>
      </w:r>
      <w:r>
        <w:t xml:space="preserve"> A charge prints plainly — </w:t>
      </w:r>
      <w:r>
        <w:rPr>
          <w:rFonts w:ascii="Consolas" w:cs="Consolas" w:eastAsia="Consolas" w:hAnsi="Consolas"/>
          <w:sz w:val="20"/>
          <w:szCs w:val="20"/>
          <w:shd w:fill="F5F5F7" w:val="clear"/>
        </w:rPr>
        <w:t xml:space="preserve">10 Room hours</w:t>
      </w:r>
      <w:r>
        <w:t xml:space="preserve"> —
and a refund carries a leading plus: </w:t>
      </w:r>
      <w:r>
        <w:rPr>
          <w:rFonts w:ascii="Consolas" w:cs="Consolas" w:eastAsia="Consolas" w:hAnsi="Consolas"/>
          <w:sz w:val="20"/>
          <w:szCs w:val="20"/>
          <w:shd w:fill="F5F5F7" w:val="clear"/>
        </w:rPr>
        <w:t xml:space="preserve">+10 Room hours</w:t>
      </w:r>
      <w:r>
        <w:t xml:space="preserve">. A booking that spends two
different units gets a line each, because the two are separate budgets that
cannot pay for one another.</w:t>
      </w:r>
    </w:p>
    <w:p>
      <w:pPr>
        <w:spacing w:after="160"/>
      </w:pPr>
      <w:r>
        <w:t xml:space="preserve">Only </w:t>
      </w:r>
      <w:r>
        <w:rPr>
          <w:b/>
          <w:bCs/>
        </w:rPr>
        <w:t xml:space="preserve">Time</w:t>
      </w:r>
      <w:r>
        <w:t xml:space="preserve"> and </w:t>
      </w:r>
      <w:r>
        <w:rPr>
          <w:b/>
          <w:bCs/>
        </w:rPr>
        <w:t xml:space="preserve">Action user</w:t>
      </w:r>
      <w:r>
        <w:t xml:space="preserve"> can be sorted. The other three are assembled
from the row's contents, so they have nothing to sort on.</w:t>
      </w:r>
    </w:p>
    <w:p>
      <w:pPr>
        <w:pStyle w:val="Heading2"/>
      </w:pPr>
      <w:r>
        <w:t xml:space="preserve">4. Open the receipt to see what actually moved</w:t>
      </w:r>
    </w:p>
    <w:p>
      <w:pPr>
        <w:spacing w:after="160"/>
      </w:pPr>
      <w:r>
        <w:t xml:space="preserve">Click a row and the panel on the right breaks it into its </w:t>
      </w:r>
      <w:r>
        <w:rPr>
          <w:b/>
          <w:bCs/>
        </w:rPr>
        <w:t xml:space="preserve">Transactions</w:t>
      </w:r>
      <w:r>
        <w:t xml:space="preserve"> —
because one row is not always one movement.</w:t>
      </w:r>
    </w:p>
    <w:p>
      <w:pPr>
        <w:spacing w:after="60" w:before="160"/>
        <w:jc w:val="center"/>
      </w:pPr>
      <w:r>
        <w:drawing>
          <wp:inline distT="0" distB="0" distL="0" distR="0">
            <wp:extent cx="5715000" cy="4200525"/>
            <wp:effectExtent t="0" r="0" b="0" l="0"/>
            <wp:docPr id="1" name="quota-history-receipt" descr="An edited booking: the original cost returned, the new one charged, and the net in the list behind." title="An edited booking: the original cost returned, the new one charged, and the net in the list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00525"/>
                    </a:xfrm>
                    <a:prstGeom prst="rect">
                      <a:avLst/>
                    </a:prstGeom>
                  </pic:spPr>
                </pic:pic>
              </a:graphicData>
            </a:graphic>
          </wp:inline>
        </w:drawing>
      </w:r>
    </w:p>
    <w:p>
      <w:pPr>
        <w:spacing w:after="240"/>
        <w:jc w:val="center"/>
      </w:pPr>
      <w:r>
        <w:rPr>
          <w:i/>
          <w:iCs/>
          <w:color w:val="6E6E73"/>
          <w:sz w:val="18"/>
          <w:szCs w:val="18"/>
        </w:rPr>
        <w:t xml:space="preserve">An edited booking: the original cost returned, the new one charged, and the net in the list behind.</w:t>
      </w:r>
    </w:p>
    <w:p>
      <w:pPr>
        <w:spacing w:after="160"/>
      </w:pPr>
      <w:r>
        <w:t xml:space="preserve">Each transaction names the resource, the person whose balance it came from, and
the amount — labelled </w:t>
      </w:r>
      <w:r>
        <w:rPr>
          <w:b/>
          <w:bCs/>
        </w:rPr>
        <w:t xml:space="preserve">Charge</w:t>
      </w:r>
      <w:r>
        <w:t xml:space="preserve"> or </w:t>
      </w:r>
      <w:r>
        <w:rPr>
          <w:b/>
          <w:bCs/>
        </w:rPr>
        <w:t xml:space="preserve">Refund</w:t>
      </w:r>
      <w:r>
        <w:t xml:space="preserve">. Two things are only visible
here:</w:t>
      </w:r>
    </w:p>
    <w:p>
      <w:pPr>
        <w:pStyle w:val="ListParagraph"/>
        <w:numPr>
          <w:ilvl w:val="0"/>
          <w:numId w:val="1"/>
        </w:numPr>
        <w:spacing w:after="80"/>
      </w:pPr>
      <w:r>
        <w:rPr>
          <w:b/>
          <w:bCs/>
        </w:rPr>
        <w:t xml:space="preserve">Editing a booking is two movements, not one.</w:t>
      </w:r>
      <w:r>
        <w:t xml:space="preserve"> The old cost is refunded and
the new one charged, so a meeting extended from one hour to two shows a refund
of 10 and a charge of 20, and the Amount column reports the net of 10. Somebody
looking at their own balance sees only the difference, which is why the
arithmetic can look wrong until you open the receipt.</w:t>
      </w:r>
    </w:p>
    <w:p>
      <w:pPr>
        <w:pStyle w:val="ListParagraph"/>
        <w:numPr>
          <w:ilvl w:val="0"/>
          <w:numId w:val="1"/>
        </w:numPr>
        <w:spacing w:after="80"/>
      </w:pPr>
      <w:r>
        <w:rPr>
          <w:b/>
          <w:bCs/>
        </w:rPr>
        <w:t xml:space="preserve">The person charged is not always the person in the Action user column.</w:t>
      </w:r>
      <w:r>
        <w:t xml:space="preserve">
Where an administrator books for a colleague, the receipt is the only place
that says whose quota paid for it.</w:t>
      </w:r>
    </w:p>
    <w:p>
      <w:pPr>
        <w:spacing w:after="160"/>
      </w:pPr>
      <w:r>
        <w:rPr>
          <w:b/>
          <w:bCs/>
        </w:rPr>
        <w:t xml:space="preserve">Booking</w:t>
      </w:r>
      <w:r>
        <w:t xml:space="preserve"> at the top of the panel opens the booking itself, which is the
quickest route from "this charge looks wrong" to the meeting that caused it.</w:t>
      </w:r>
    </w:p>
    <w:p>
      <w:pPr>
        <w:pStyle w:val="Heading2"/>
      </w:pPr>
      <w:r>
        <w:t xml:space="preserve">5. Download it</w:t>
      </w:r>
    </w:p>
    <w:p>
      <w:pPr>
        <w:spacing w:after="160"/>
      </w:pPr>
      <w:r>
        <w:rPr>
          <w:b/>
          <w:bCs/>
        </w:rPr>
        <w:t xml:space="preserve">Download</w:t>
      </w:r>
      <w:r>
        <w:t xml:space="preserve"> in the header asks for a date range — it opens on the current
month, or on whatever the </w:t>
      </w:r>
      <w:r>
        <w:rPr>
          <w:b/>
          <w:bCs/>
        </w:rPr>
        <w:t xml:space="preserve">Time</w:t>
      </w:r>
      <w:r>
        <w:t xml:space="preserve"> filter is already set to — and gives you that
range as a spreadsheet.</w:t>
      </w:r>
    </w:p>
    <w:p>
      <w:pPr>
        <w:spacing w:after="160"/>
      </w:pPr>
      <w:r>
        <w:t xml:space="preserve">To take just a few rows instead, select them and use </w:t>
      </w:r>
      <w:r>
        <w:rPr>
          <w:b/>
          <w:bCs/>
        </w:rPr>
        <w:t xml:space="preserve">Export selected</w:t>
      </w:r>
      <w:r>
        <w:t xml:space="preserve">. That
one works by </w:t>
      </w:r>
      <w:r>
        <w:rPr>
          <w:b/>
          <w:bCs/>
        </w:rPr>
        <w:t xml:space="preserve">booking</w:t>
      </w:r>
      <w:r>
        <w:t xml:space="preserve">, so a receipt you pick brings the rest of its booking's
history with it — the charge and the refund arrive together rather than one
without the other.</w:t>
      </w:r>
    </w:p>
    <w:p>
      <w:pPr>
        <w:pStyle w:val="Heading2"/>
      </w:pPr>
      <w:r>
        <w:t xml:space="preserve">6. Check you have the right answer</w:t>
      </w:r>
    </w:p>
    <w:p>
      <w:pPr>
        <w:spacing w:after="160"/>
      </w:pPr>
      <w:r>
        <w:t xml:space="preserve">Take the complaint you were given and reproduce it end to end. Filter by the
person, set </w:t>
      </w:r>
      <w:r>
        <w:rPr>
          <w:b/>
          <w:bCs/>
        </w:rPr>
        <w:t xml:space="preserve">Time</w:t>
      </w:r>
      <w:r>
        <w:t xml:space="preserve"> to the period they are asking about, and add up the
Amount column: charges less refunds is what left their balance in that window.</w:t>
      </w:r>
    </w:p>
    <w:p>
      <w:pPr>
        <w:spacing w:after="160"/>
      </w:pPr>
      <w:r>
        <w:t xml:space="preserve">If that total matches what they say they have lost, the ledger and the
complaint agree and the answer is in the rows. If it does not, the difference is
almost always one of the four things below — none of which is recorded here.</w:t>
      </w:r>
    </w:p>
    <w:p>
      <w:pPr>
        <w:pStyle w:val="Heading2"/>
      </w:pPr>
      <w:r>
        <w:t xml:space="preserve">What Quota usage history does not show</w:t>
      </w:r>
    </w:p>
    <w:p>
      <w:pPr>
        <w:pStyle w:val="ListParagraph"/>
        <w:numPr>
          <w:ilvl w:val="0"/>
          <w:numId w:val="1"/>
        </w:numPr>
        <w:spacing w:after="80"/>
      </w:pPr>
      <w:r>
        <w:rPr>
          <w:b/>
          <w:bCs/>
        </w:rPr>
        <w:t xml:space="preserve">Anybody's remaining balance.</w:t>
      </w:r>
      <w:r>
        <w:t xml:space="preserve"> Nothing in the console reports what a person
has left. The only place it appears is the charge panel on the booking form
while you are actually making a booking for them.</w:t>
      </w:r>
    </w:p>
    <w:p>
      <w:pPr>
        <w:pStyle w:val="ListParagraph"/>
        <w:numPr>
          <w:ilvl w:val="0"/>
          <w:numId w:val="1"/>
        </w:numPr>
        <w:spacing w:after="80"/>
      </w:pPr>
      <w:r>
        <w:rPr>
          <w:b/>
          <w:bCs/>
        </w:rPr>
        <w:t xml:space="preserve">Period resets.</w:t>
      </w:r>
      <w:r>
        <w:t xml:space="preserve"> A balance that changed because the period rolled over
leaves no row. Only booking, editing and cancelling are recorded, so a reset
is invisible here even though it is the commonest reason a balance moved on
its own.</w:t>
      </w:r>
    </w:p>
    <w:p>
      <w:pPr>
        <w:pStyle w:val="ListParagraph"/>
        <w:numPr>
          <w:ilvl w:val="0"/>
          <w:numId w:val="1"/>
        </w:numPr>
        <w:spacing w:after="80"/>
      </w:pPr>
      <w:r>
        <w:rPr>
          <w:b/>
          <w:bCs/>
        </w:rPr>
        <w:t xml:space="preserve">Bookings that were refused.</w:t>
      </w:r>
      <w:r>
        <w:t xml:space="preserve"> Somebody blocked by </w:t>
      </w:r>
      <w:r>
        <w:rPr>
          <w:b/>
          <w:bCs/>
        </w:rPr>
        <w:t xml:space="preserve">Not enough quota</w:t>
      </w:r>
      <w:r>
        <w:t xml:space="preserve">
never got charged, so nothing was written. There is no record of the attempt.</w:t>
      </w:r>
    </w:p>
    <w:p>
      <w:pPr>
        <w:pStyle w:val="ListParagraph"/>
        <w:numPr>
          <w:ilvl w:val="0"/>
          <w:numId w:val="1"/>
        </w:numPr>
        <w:spacing w:after="80"/>
      </w:pPr>
      <w:r>
        <w:rPr>
          <w:b/>
          <w:bCs/>
        </w:rPr>
        <w:t xml:space="preserve">Resources that are not priced.</w:t>
      </w:r>
      <w:r>
        <w:t xml:space="preserve"> A resource with no quota policy costs
nothing and never appears, however heavily it is booked.</w:t>
      </w:r>
    </w:p>
    <w:p>
      <w:pPr>
        <w:spacing w:after="160"/>
      </w:pPr>
      <w:r>
        <w:t xml:space="preserve">A cancellation that gave nothing back is worth one more word: it means the
resource's own policy does not allow refunds, or the booking was cancelled
inside its refund deadline. Both are settings on the resource quota policy, not
faults in the record — the
</w:t>
      </w:r>
      <w:hyperlink w:history="1" r:id="rIdnf_-fovwqtrulzwdsxbqz">
        <w:r>
          <w:rPr>
            <w:rStyle w:val="Hyperlink"/>
          </w:rPr>
          <w:t xml:space="preserve">settings reference</w:t>
        </w:r>
      </w:hyperlink>
      <w:r>
        <w:t xml:space="preserve"> covers them.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zepkdvr51glgfzlqbwpm" Type="http://schemas.openxmlformats.org/officeDocument/2006/relationships/hyperlink" Target="https://offision.com/help/en/booking/read-the-quota-usage-history/" TargetMode="External"/><Relationship Id="rIdnf_-fovwqtrulzwdsxbqz" Type="http://schemas.openxmlformats.org/officeDocument/2006/relationships/hyperlink" Target="/en/booking/quota-policy-reference/" TargetMode="External"/><Relationship Id="rId7" Type="http://schemas.openxmlformats.org/officeDocument/2006/relationships/image" Target="media/b932cebdaeeebdbb588a559888db889445ec8819.png"/><Relationship Id="rId8" Type="http://schemas.openxmlformats.org/officeDocument/2006/relationships/image" Target="media/ff062bdaa08279493765a2052bf043616e2d4fb4.png"/><Relationship Id="rId9" Type="http://schemas.openxmlformats.org/officeDocument/2006/relationships/image" Target="media/e66abeca011645a1b7babd36a6e965c1b4b30953.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 what someone's quota was spent on</dc:title>
  <dc:creator>Offision</dc:creator>
  <cp:lastModifiedBy>Un-named</cp:lastModifiedBy>
  <cp:revision>1</cp:revision>
  <dcterms:created xsi:type="dcterms:W3CDTF">2026-09-08T10:06:55.582Z</dcterms:created>
  <dcterms:modified xsi:type="dcterms:W3CDTF">2026-09-08T10:06:55.582Z</dcterms:modified>
</cp:coreProperties>
</file>

<file path=docProps/custom.xml><?xml version="1.0" encoding="utf-8"?>
<Properties xmlns="http://schemas.openxmlformats.org/officeDocument/2006/custom-properties" xmlns:vt="http://schemas.openxmlformats.org/officeDocument/2006/docPropsVTypes"/>
</file>