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Email your managers a forecast of upcoming bookings</w:t>
      </w:r>
    </w:p>
    <w:p>
      <w:pPr>
        <w:spacing w:after="120"/>
      </w:pPr>
      <w:r>
        <w:rPr>
          <w:color w:val="6E6E73"/>
          <w:sz w:val="24"/>
          <w:szCs w:val="24"/>
        </w:rPr>
        <w:t xml:space="preserve">Schedule a recurring email that counts the bookings coming up and attaches a one-page PDF and the full list as a spreadsheet. About ten minutes, and you can send one immediately to check it arrives.</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1vpmtqlkjbns5h4e2ovqp">
        <w:r>
          <w:rPr>
            <w:rStyle w:val="Hyperlink"/>
            <w:color w:val="6E6E73"/>
            <w:sz w:val="18"/>
            <w:szCs w:val="18"/>
          </w:rPr>
          <w:t xml:space="preserve">https://offision.com/help/en/booking/email-a-forecast-of-upcoming-bookings/</w:t>
        </w:r>
      </w:hyperlink>
    </w:p>
    <w:p>
      <w:pPr>
        <w:spacing w:after="60" w:before="160"/>
        <w:jc w:val="center"/>
      </w:pPr>
      <w:r>
        <w:drawing>
          <wp:inline distT="0" distB="0" distL="0" distR="0">
            <wp:extent cx="5715000" cy="4286250"/>
            <wp:effectExtent t="0" r="0" b="0" l="0"/>
            <wp:docPr id="1" name="forecast-window" descr="Every forecast starts tomorrow. The frequency chooses how often the email arrives, and only Weekly changes how much it covers." title="Every forecast starts tomorrow. The frequency chooses how often the email arrives, and only Weekly changes how much it co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Every forecast starts tomorrow. The frequency chooses how often the email arrives, and only Weekly changes how much it covers.</w:t>
      </w:r>
    </w:p>
    <w:p>
      <w:pPr>
        <w:spacing w:after="160"/>
      </w:pPr>
      <w:r>
        <w:rPr>
          <w:b/>
          <w:bCs/>
        </w:rPr>
        <w:t xml:space="preserve">Before you start:</w:t>
      </w:r>
      <w:r>
        <w:t xml:space="preserve">
You need </w:t>
      </w:r>
      <w:r>
        <w:rPr>
          <w:b/>
          <w:bCs/>
        </w:rPr>
        <w:t xml:space="preserve">Setting manager</w:t>
      </w:r>
      <w:r>
        <w:t xml:space="preserve"> permission — read to see the page, write to save a
subscription or send one. Email sending must already work; the report goes out
through the same sender as every other Offision email.</w:t>
      </w:r>
    </w:p>
    <w:p>
      <w:pPr>
        <w:pStyle w:val="Heading2"/>
      </w:pPr>
      <w:r>
        <w:t xml:space="preserve">1. Open the email report page</w:t>
      </w:r>
    </w:p>
    <w:p>
      <w:pPr>
        <w:spacing w:after="160"/>
      </w:pPr>
      <w:r>
        <w:t xml:space="preserve">In the </w:t>
      </w:r>
      <w:r>
        <w:rPr>
          <w:b/>
          <w:bCs/>
        </w:rPr>
        <w:t xml:space="preserve">Booking</w:t>
      </w:r>
      <w:r>
        <w:t xml:space="preserve"> module, the page sits under </w:t>
      </w:r>
      <w:r>
        <w:rPr>
          <w:b/>
          <w:bCs/>
        </w:rPr>
        <w:t xml:space="preserve">Settings</w:t>
      </w:r>
      <w:r>
        <w:t xml:space="preserve"> in the list down the
left — but it is not one of the pinned entries, so you have to choose
</w:t>
      </w:r>
      <w:r>
        <w:rPr>
          <w:b/>
          <w:bCs/>
        </w:rPr>
        <w:t xml:space="preserve">Show more</w:t>
      </w:r>
      <w:r>
        <w:t xml:space="preserve"> before </w:t>
      </w:r>
      <w:r>
        <w:rPr>
          <w:b/>
          <w:bCs/>
        </w:rPr>
        <w:t xml:space="preserve">Email report</w:t>
      </w:r>
      <w:r>
        <w:t xml:space="preserve"> appears. That single step is where most
people give up looking.</w:t>
      </w:r>
    </w:p>
    <w:p>
      <w:pPr>
        <w:spacing w:after="200"/>
      </w:pPr>
      <w:r>
        <w:rPr>
          <w:color w:val="6E6E73"/>
          <w:sz w:val="18"/>
          <w:szCs w:val="18"/>
        </w:rPr>
        <w:t xml:space="preserve">Where in Offision: admin app → booking/email-report (Email report)</w:t>
      </w:r>
    </w:p>
    <w:p>
      <w:pPr>
        <w:spacing w:after="160"/>
      </w:pPr>
      <w:r>
        <w:t xml:space="preserve">A subscription is a standing instruction: </w:t>
      </w:r>
      <w:r>
        <w:rPr>
          <w:i/>
          <w:iCs/>
        </w:rPr>
        <w:t xml:space="preserve">this report, this often, to these
people, about these rooms</w:t>
      </w:r>
      <w:r>
        <w:t xml:space="preserve">. You can have as many as you like — a daily one for
the facilities team and a weekly one for a department head are two separate
subscriptions, not one compromise.</w:t>
      </w:r>
    </w:p>
    <w:p>
      <w:pPr>
        <w:spacing w:after="60" w:before="160"/>
        <w:jc w:val="center"/>
      </w:pPr>
      <w:r>
        <w:drawing>
          <wp:inline distT="0" distB="0" distL="0" distR="0">
            <wp:extent cx="5715000" cy="1981200"/>
            <wp:effectExtent t="0" r="0" b="0" l="0"/>
            <wp:docPr id="1" name="email-report-subscription-list" descr="Three subscriptions on one page: a daily, a weekly and a monthly." title="Three subscriptions on one page: a daily, a weekly and a month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981200"/>
                    </a:xfrm>
                    <a:prstGeom prst="rect">
                      <a:avLst/>
                    </a:prstGeom>
                  </pic:spPr>
                </pic:pic>
              </a:graphicData>
            </a:graphic>
          </wp:inline>
        </w:drawing>
      </w:r>
    </w:p>
    <w:p>
      <w:pPr>
        <w:spacing w:after="240"/>
        <w:jc w:val="center"/>
      </w:pPr>
      <w:r>
        <w:rPr>
          <w:i/>
          <w:iCs/>
          <w:color w:val="6E6E73"/>
          <w:sz w:val="18"/>
          <w:szCs w:val="18"/>
        </w:rPr>
        <w:t xml:space="preserve">Three subscriptions on one page: a daily, a weekly and a monthly.</w:t>
      </w:r>
    </w:p>
    <w:p>
      <w:pPr>
        <w:pStyle w:val="Heading2"/>
      </w:pPr>
      <w:r>
        <w:t xml:space="preserve">2. Add a subscription</w:t>
      </w:r>
    </w:p>
    <w:p>
      <w:pPr>
        <w:spacing w:after="160"/>
      </w:pPr>
      <w:r>
        <w:t xml:space="preserve">Choose </w:t>
      </w:r>
      <w:r>
        <w:rPr>
          <w:b/>
          <w:bCs/>
        </w:rPr>
        <w:t xml:space="preserve">Add</w:t>
      </w:r>
      <w:r>
        <w:t xml:space="preserve">. The dialog opens on </w:t>
      </w:r>
      <w:r>
        <w:rPr>
          <w:b/>
          <w:bCs/>
        </w:rPr>
        <w:t xml:space="preserve">Report</w:t>
      </w:r>
      <w:r>
        <w:t xml:space="preserve">, showing the two reports the
booking module publishes as cards: </w:t>
      </w:r>
      <w:r>
        <w:rPr>
          <w:b/>
          <w:bCs/>
        </w:rPr>
        <w:t xml:space="preserve">Booking record summary</w:t>
      </w:r>
      <w:r>
        <w:t xml:space="preserve">, </w:t>
      </w:r>
      <w:r>
        <w:rPr>
          <w:i/>
          <w:iCs/>
        </w:rPr>
        <w:t xml:space="preserve">the period just
gone</w:t>
      </w:r>
      <w:r>
        <w:t xml:space="preserve">, and </w:t>
      </w:r>
      <w:r>
        <w:rPr>
          <w:b/>
          <w:bCs/>
        </w:rPr>
        <w:t xml:space="preserve">Upcoming booking forecast</w:t>
      </w:r>
      <w:r>
        <w:t xml:space="preserve">, </w:t>
      </w:r>
      <w:r>
        <w:rPr>
          <w:i/>
          <w:iCs/>
        </w:rPr>
        <w:t xml:space="preserve">the days ahead</w:t>
      </w:r>
      <w:r>
        <w:t xml:space="preserve">. A new subscription
starts on the summary, so choose the </w:t>
      </w:r>
      <w:r>
        <w:rPr>
          <w:b/>
          <w:bCs/>
        </w:rPr>
        <w:t xml:space="preserve">forecast</w:t>
      </w:r>
      <w:r>
        <w:t xml:space="preserve"> card. If it is the past you
want reported on, </w:t>
      </w:r>
      <w:hyperlink w:history="1" r:id="rIdfs3-um3rhhalhoowlb71g">
        <w:r>
          <w:rPr>
            <w:rStyle w:val="Hyperlink"/>
          </w:rPr>
          <w:t xml:space="preserve">the summary has an article of its own</w:t>
        </w:r>
      </w:hyperlink>
      <w:r>
        <w:t xml:space="preserve">.</w:t>
      </w:r>
    </w:p>
    <w:p>
      <w:pPr>
        <w:spacing w:after="160"/>
      </w:pPr>
      <w:r>
        <w:t xml:space="preserve">Everything else is on the rail down the left — </w:t>
      </w:r>
      <w:r>
        <w:rPr>
          <w:b/>
          <w:bCs/>
        </w:rPr>
        <w:t xml:space="preserve">Schedule</w:t>
      </w:r>
      <w:r>
        <w:t xml:space="preserve">, </w:t>
      </w:r>
      <w:r>
        <w:rPr>
          <w:b/>
          <w:bCs/>
        </w:rPr>
        <w:t xml:space="preserve">Recipients</w:t>
      </w:r>
      <w:r>
        <w:t xml:space="preserve"> and
</w:t>
      </w:r>
      <w:r>
        <w:rPr>
          <w:b/>
          <w:bCs/>
        </w:rPr>
        <w:t xml:space="preserve">Scope</w:t>
      </w:r>
      <w:r>
        <w:t xml:space="preserve"> — under a pill reading </w:t>
      </w:r>
      <w:r>
        <w:rPr>
          <w:b/>
          <w:bCs/>
        </w:rPr>
        <w:t xml:space="preserve">Active</w:t>
      </w:r>
      <w:r>
        <w:t xml:space="preserve">. Choosing that pill pauses the
report: it keeps every setting and every recipient and sends nothing until you
turn it back on, which is how you stop a report for a month without losing who
it went to.</w:t>
      </w:r>
    </w:p>
    <w:p>
      <w:pPr>
        <w:spacing w:after="60" w:before="160"/>
        <w:jc w:val="center"/>
      </w:pPr>
      <w:r>
        <w:drawing>
          <wp:inline distT="0" distB="0" distL="0" distR="0">
            <wp:extent cx="5715000" cy="4629150"/>
            <wp:effectExtent t="0" r="0" b="0" l="0"/>
            <wp:docPr id="1" name="email-report-subscription-dialog" descr="The Report page, with the forecast card chosen and its frequency on the pill beneath the name." title="The Report page, with the forecast card chosen and its frequency on the pill beneath the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Report page, with the forecast card chosen and its frequency on the pill beneath the name.</w:t>
      </w:r>
    </w:p>
    <w:p>
      <w:pPr>
        <w:pStyle w:val="Heading2"/>
      </w:pPr>
      <w:r>
        <w:t xml:space="preserve">3. Choose how often it arrives</w:t>
      </w:r>
    </w:p>
    <w:p>
      <w:pPr>
        <w:spacing w:after="160"/>
      </w:pPr>
      <w:r>
        <w:t xml:space="preserve">The frequency sits on the selected card, as a pill under its name.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092"/>
        <w:gridCol w:w="5176"/>
        <w:gridCol w:w="2092"/>
      </w:tblGrid>
      <w:tr>
        <w:trPr>
          <w:cantSplit/>
          <w:tblHeader/>
        </w:trPr>
        <w:tc>
          <w:tcPr>
            <w:tcW w:type="dxa" w:w="2092"/>
            <w:shd w:fill="F5F5F7" w:val="clear"/>
          </w:tcPr>
          <w:p>
            <w:pPr>
              <w:spacing w:after="0"/>
            </w:pPr>
            <w:r>
              <w:rPr>
                <w:b/>
                <w:bCs/>
              </w:rPr>
              <w:t xml:space="preserve">Frequency</w:t>
            </w:r>
          </w:p>
        </w:tc>
        <w:tc>
          <w:tcPr>
            <w:tcW w:type="dxa" w:w="5176"/>
            <w:shd w:fill="F5F5F7" w:val="clear"/>
          </w:tcPr>
          <w:p>
            <w:pPr>
              <w:spacing w:after="0"/>
            </w:pPr>
            <w:r>
              <w:rPr>
                <w:b/>
                <w:bCs/>
              </w:rPr>
              <w:t xml:space="preserve">Arrives</w:t>
            </w:r>
          </w:p>
        </w:tc>
        <w:tc>
          <w:tcPr>
            <w:tcW w:type="dxa" w:w="2092"/>
            <w:shd w:fill="F5F5F7" w:val="clear"/>
          </w:tcPr>
          <w:p>
            <w:pPr>
              <w:spacing w:after="0"/>
            </w:pPr>
            <w:r>
              <w:rPr>
                <w:b/>
                <w:bCs/>
              </w:rPr>
              <w:t xml:space="preserve">Covers</w:t>
            </w:r>
          </w:p>
        </w:tc>
      </w:tr>
      <w:tr>
        <w:trPr>
          <w:cantSplit/>
        </w:trPr>
        <w:tc>
          <w:tcPr>
            <w:tcW w:type="dxa" w:w="2092"/>
          </w:tcPr>
          <w:p>
            <w:pPr>
              <w:spacing w:after="0"/>
            </w:pPr>
            <w:r>
              <w:rPr>
                <w:b/>
                <w:bCs/>
              </w:rPr>
              <w:t xml:space="preserve">Daily</w:t>
            </w:r>
          </w:p>
        </w:tc>
        <w:tc>
          <w:tcPr>
            <w:tcW w:type="dxa" w:w="5176"/>
          </w:tcPr>
          <w:p>
            <w:pPr>
              <w:spacing w:after="0"/>
            </w:pPr>
            <w:r>
              <w:t xml:space="preserve">Every day</w:t>
            </w:r>
          </w:p>
        </w:tc>
        <w:tc>
          <w:tcPr>
            <w:tcW w:type="dxa" w:w="2092"/>
          </w:tcPr>
          <w:p>
            <w:pPr>
              <w:spacing w:after="0"/>
            </w:pPr>
            <w:r>
              <w:t xml:space="preserve">The next day</w:t>
            </w:r>
          </w:p>
        </w:tc>
      </w:tr>
      <w:tr>
        <w:trPr>
          <w:cantSplit/>
        </w:trPr>
        <w:tc>
          <w:tcPr>
            <w:tcW w:type="dxa" w:w="2092"/>
          </w:tcPr>
          <w:p>
            <w:pPr>
              <w:spacing w:after="0"/>
            </w:pPr>
            <w:r>
              <w:rPr>
                <w:b/>
                <w:bCs/>
              </w:rPr>
              <w:t xml:space="preserve">Weekly</w:t>
            </w:r>
          </w:p>
        </w:tc>
        <w:tc>
          <w:tcPr>
            <w:tcW w:type="dxa" w:w="5176"/>
          </w:tcPr>
          <w:p>
            <w:pPr>
              <w:spacing w:after="0"/>
            </w:pPr>
            <w:r>
              <w:t xml:space="preserve">The </w:t>
            </w:r>
            <w:r>
              <w:rPr>
                <w:b/>
                <w:bCs/>
              </w:rPr>
              <w:t xml:space="preserve">day of week</w:t>
            </w:r>
            <w:r>
              <w:t xml:space="preserve"> you pick</w:t>
            </w:r>
          </w:p>
        </w:tc>
        <w:tc>
          <w:tcPr>
            <w:tcW w:type="dxa" w:w="2092"/>
          </w:tcPr>
          <w:p>
            <w:pPr>
              <w:spacing w:after="0"/>
            </w:pPr>
            <w:r>
              <w:t xml:space="preserve">The next seven days</w:t>
            </w:r>
          </w:p>
        </w:tc>
      </w:tr>
      <w:tr>
        <w:trPr>
          <w:cantSplit/>
        </w:trPr>
        <w:tc>
          <w:tcPr>
            <w:tcW w:type="dxa" w:w="2092"/>
          </w:tcPr>
          <w:p>
            <w:pPr>
              <w:spacing w:after="0"/>
            </w:pPr>
            <w:r>
              <w:rPr>
                <w:b/>
                <w:bCs/>
              </w:rPr>
              <w:t xml:space="preserve">Every two weeks</w:t>
            </w:r>
          </w:p>
        </w:tc>
        <w:tc>
          <w:tcPr>
            <w:tcW w:type="dxa" w:w="5176"/>
          </w:tcPr>
          <w:p>
            <w:pPr>
              <w:spacing w:after="0"/>
            </w:pPr>
            <w:r>
              <w:t xml:space="preserve">The </w:t>
            </w:r>
            <w:r>
              <w:rPr>
                <w:b/>
                <w:bCs/>
              </w:rPr>
              <w:t xml:space="preserve">day of week</w:t>
            </w:r>
            <w:r>
              <w:t xml:space="preserve"> you pick, every second week</w:t>
            </w:r>
          </w:p>
        </w:tc>
        <w:tc>
          <w:tcPr>
            <w:tcW w:type="dxa" w:w="2092"/>
          </w:tcPr>
          <w:p>
            <w:pPr>
              <w:spacing w:after="0"/>
            </w:pPr>
            <w:r>
              <w:t xml:space="preserve">The next 14 days</w:t>
            </w:r>
          </w:p>
        </w:tc>
      </w:tr>
      <w:tr>
        <w:trPr>
          <w:cantSplit/>
        </w:trPr>
        <w:tc>
          <w:tcPr>
            <w:tcW w:type="dxa" w:w="2092"/>
          </w:tcPr>
          <w:p>
            <w:pPr>
              <w:spacing w:after="0"/>
            </w:pPr>
            <w:r>
              <w:rPr>
                <w:b/>
                <w:bCs/>
              </w:rPr>
              <w:t xml:space="preserve">Monthly</w:t>
            </w:r>
          </w:p>
        </w:tc>
        <w:tc>
          <w:tcPr>
            <w:tcW w:type="dxa" w:w="5176"/>
          </w:tcPr>
          <w:p>
            <w:pPr>
              <w:spacing w:after="0"/>
            </w:pPr>
            <w:r>
              <w:t xml:space="preserve">The </w:t>
            </w:r>
            <w:r>
              <w:rPr>
                <w:b/>
                <w:bCs/>
              </w:rPr>
              <w:t xml:space="preserve">day of month</w:t>
            </w:r>
            <w:r>
              <w:t xml:space="preserve"> you pick, 1 to 28</w:t>
            </w:r>
          </w:p>
        </w:tc>
        <w:tc>
          <w:tcPr>
            <w:tcW w:type="dxa" w:w="2092"/>
          </w:tcPr>
          <w:p>
            <w:pPr>
              <w:spacing w:after="0"/>
            </w:pPr>
            <w:r>
              <w:t xml:space="preserve">The next day</w:t>
            </w:r>
          </w:p>
        </w:tc>
      </w:tr>
    </w:tbl>
    <w:p>
      <w:pPr>
        <w:spacing w:after="0"/>
      </w:pPr>
    </w:p>
    <w:p>
      <w:pPr>
        <w:spacing w:after="160"/>
      </w:pPr>
      <w:r>
        <w:rPr>
          <w:b/>
          <w:bCs/>
        </w:rPr>
        <w:t xml:space="preserve">Monthly does not mean a month of bookings:</w:t>
      </w:r>
      <w:r>
        <w:t xml:space="preserve">
Monthly changes how often the email arrives, not how much it reports on. A
monthly report still covers a single day — the day after it is sent. If you want
a month of bookings in one email, there is no setting for that; a report sent every two weeks
is the widest window available.</w:t>
      </w:r>
    </w:p>
    <w:p>
      <w:pPr>
        <w:spacing w:after="160"/>
      </w:pPr>
      <w:r>
        <w:rPr>
          <w:b/>
          <w:bCs/>
        </w:rPr>
        <w:t xml:space="preserve">Send time</w:t>
      </w:r>
      <w:r>
        <w:t xml:space="preserve"> and the day of week or month are on </w:t>
      </w:r>
      <w:r>
        <w:rPr>
          <w:b/>
          <w:bCs/>
        </w:rPr>
        <w:t xml:space="preserve">Schedule</w:t>
      </w:r>
      <w:r>
        <w:t xml:space="preserve">, which also
lists the next four sends and the period each one reports on — the quickest
check that the schedule is what you meant.</w:t>
      </w:r>
    </w:p>
    <w:p>
      <w:pPr>
        <w:spacing w:after="160"/>
      </w:pPr>
      <w:r>
        <w:rPr>
          <w:b/>
          <w:bCs/>
        </w:rPr>
        <w:t xml:space="preserve">Send time</w:t>
      </w:r>
      <w:r>
        <w:t xml:space="preserve"> is honoured to the </w:t>
      </w:r>
      <w:r>
        <w:rPr>
          <w:b/>
          <w:bCs/>
        </w:rPr>
        <w:t xml:space="preserve">hour</w:t>
      </w:r>
      <w:r>
        <w:t xml:space="preserve">. Minutes are ignored, so 09:30 and
09:00 both send during the 9 o'clock hour. The hour is read in the system time
zone, not the reader's, so a manager abroad receives it at their local
equivalent of your working morning rather than theirs.</w:t>
      </w:r>
    </w:p>
    <w:p>
      <w:pPr>
        <w:spacing w:after="160"/>
      </w:pPr>
      <w:r>
        <w:t xml:space="preserve">Day of month stops at </w:t>
      </w:r>
      <w:r>
        <w:rPr>
          <w:b/>
          <w:bCs/>
        </w:rPr>
        <w:t xml:space="preserve">28</w:t>
      </w:r>
      <w:r>
        <w:t xml:space="preserve"> deliberately — 29, 30 and 31 do not exist in every
month, and a report scheduled for a day that never comes never arrives.</w:t>
      </w:r>
    </w:p>
    <w:p>
      <w:pPr>
        <w:pStyle w:val="Heading2"/>
      </w:pPr>
      <w:r>
        <w:t xml:space="preserve">4. Choose who receives it</w:t>
      </w:r>
    </w:p>
    <w:p>
      <w:pPr>
        <w:spacing w:after="160"/>
      </w:pPr>
      <w:r>
        <w:rPr>
          <w:b/>
          <w:bCs/>
        </w:rPr>
        <w:t xml:space="preserve">Recipients</w:t>
      </w:r>
      <w:r>
        <w:t xml:space="preserve">, on the rail, offers two modes:</w:t>
      </w:r>
    </w:p>
    <w:p>
      <w:pPr>
        <w:pStyle w:val="ListParagraph"/>
        <w:numPr>
          <w:ilvl w:val="0"/>
          <w:numId w:val="1"/>
        </w:numPr>
        <w:spacing w:after="80"/>
      </w:pPr>
      <w:r>
        <w:rPr>
          <w:b/>
          <w:bCs/>
        </w:rPr>
        <w:t xml:space="preserve">All booking managers</w:t>
      </w:r>
      <w:r>
        <w:t xml:space="preserve"> — everyone holding Booking manager or Global
administrator, resolved fresh at the moment each report is sent. People
joining or leaving that role are picked up without anyone editing the
subscription. This is the right choice for a standing operational report.</w:t>
      </w:r>
    </w:p>
    <w:p>
      <w:pPr>
        <w:pStyle w:val="ListParagraph"/>
        <w:numPr>
          <w:ilvl w:val="0"/>
          <w:numId w:val="1"/>
        </w:numPr>
        <w:spacing w:after="80"/>
      </w:pPr>
      <w:r>
        <w:rPr>
          <w:b/>
          <w:bCs/>
        </w:rPr>
        <w:t xml:space="preserve">Specify recipients</w:t>
      </w:r>
      <w:r>
        <w:t xml:space="preserve"> — name individual people, user groups, or both. From
4.5.9 a user group is expanded to its members when the report is sent, so a
group stays current as people join and leave it.</w:t>
      </w:r>
    </w:p>
    <w:p>
      <w:pPr>
        <w:spacing w:after="160"/>
      </w:pPr>
      <w:r>
        <w:t xml:space="preserve">Either way, recipients are filtered to people who hold </w:t>
      </w:r>
      <w:r>
        <w:rPr>
          <w:b/>
          <w:bCs/>
        </w:rPr>
        <w:t xml:space="preserve">Booking manager</w:t>
      </w:r>
      <w:r>
        <w:t xml:space="preserve"> or
</w:t>
      </w:r>
      <w:r>
        <w:rPr>
          <w:b/>
          <w:bCs/>
        </w:rPr>
        <w:t xml:space="preserve">Global administrator</w:t>
      </w:r>
      <w:r>
        <w:t xml:space="preserve">. Naming someone without those rights, directly or
through a group, does not add them — a subscription is a convenient way to
address managers, never a way to grant sight of bookings to somebody who cannot
otherwise see them.</w:t>
      </w:r>
    </w:p>
    <w:p>
      <w:pPr>
        <w:spacing w:after="60" w:before="160"/>
        <w:jc w:val="center"/>
      </w:pPr>
      <w:r>
        <w:drawing>
          <wp:inline distT="0" distB="0" distL="0" distR="0">
            <wp:extent cx="5715000" cy="3571875"/>
            <wp:effectExtent t="0" r="0" b="0" l="0"/>
            <wp:docPr id="1" name="email-report-recipient-mode" descr="The two recipient modes." title="The two recipient m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The two recipient modes.</w:t>
      </w:r>
    </w:p>
    <w:p>
      <w:pPr>
        <w:pStyle w:val="Heading2"/>
      </w:pPr>
      <w:r>
        <w:t xml:space="preserve">5. Choose what it counts</w:t>
      </w:r>
    </w:p>
    <w:p>
      <w:pPr>
        <w:spacing w:after="160"/>
      </w:pPr>
      <w:r>
        <w:t xml:space="preserve">On </w:t>
      </w:r>
      <w:r>
        <w:rPr>
          <w:b/>
          <w:bCs/>
        </w:rPr>
        <w:t xml:space="preserve">Scope</w:t>
      </w:r>
      <w:r>
        <w:t xml:space="preserve">, leave </w:t>
      </w:r>
      <w:r>
        <w:rPr>
          <w:b/>
          <w:bCs/>
        </w:rPr>
        <w:t xml:space="preserve">All bookable resources</w:t>
      </w:r>
      <w:r>
        <w:t xml:space="preserve"> on and the report covers
everything. Turn it off to pick specific rooms and desks — the way to give a
department head a report about their own floor rather than the whole estate.</w:t>
      </w:r>
    </w:p>
    <w:p>
      <w:pPr>
        <w:pStyle w:val="Heading2"/>
      </w:pPr>
      <w:r>
        <w:t xml:space="preserve">6. Read the mail before you save</w:t>
      </w:r>
    </w:p>
    <w:p>
      <w:pPr>
        <w:spacing w:after="160"/>
      </w:pPr>
      <w:r>
        <w:t xml:space="preserve">Go back to </w:t>
      </w:r>
      <w:r>
        <w:rPr>
          <w:b/>
          <w:bCs/>
        </w:rPr>
        <w:t xml:space="preserve">Report</w:t>
      </w:r>
      <w:r>
        <w:t xml:space="preserve">. Under the two cards the dialog builds the email this
subscription would actually send — who it resolves to after the manager filter,
both attachments, and the report itself — and rebuilds it whenever you change a
setting. </w:t>
      </w:r>
      <w:r>
        <w:rPr>
          <w:i/>
          <w:iCs/>
        </w:rPr>
        <w:t xml:space="preserve">No one would receive this report</w:t>
      </w:r>
      <w:r>
        <w:t xml:space="preserve"> there means nobody you named holds
Booking manager, which is the first cause in the list at the foot of this page,
caught before the first send rather than after it.</w:t>
      </w:r>
    </w:p>
    <w:p>
      <w:pPr>
        <w:spacing w:after="160"/>
      </w:pPr>
      <w:r>
        <w:t xml:space="preserve">Then choose </w:t>
      </w:r>
      <w:r>
        <w:rPr>
          <w:b/>
          <w:bCs/>
        </w:rPr>
        <w:t xml:space="preserve">Save</w:t>
      </w:r>
      <w:r>
        <w:t xml:space="preserve">.</w:t>
      </w:r>
    </w:p>
    <w:p>
      <w:pPr>
        <w:pStyle w:val="Heading2"/>
      </w:pPr>
      <w:r>
        <w:t xml:space="preserve">7. Send one now to check</w:t>
      </w:r>
    </w:p>
    <w:p>
      <w:pPr>
        <w:spacing w:after="160"/>
      </w:pPr>
      <w:r>
        <w:t xml:space="preserve">Select the subscription, and choose </w:t>
      </w:r>
      <w:r>
        <w:rPr>
          <w:b/>
          <w:bCs/>
        </w:rPr>
        <w:t xml:space="preserve">Send now</w:t>
      </w:r>
      <w:r>
        <w:t xml:space="preserve"> in the panel on the right. The
report goes out immediately, to its real recipients — this is a live send, not
a preview, so expect the people you named to receive it.</w:t>
      </w:r>
    </w:p>
    <w:p>
      <w:pPr>
        <w:spacing w:after="160"/>
      </w:pPr>
      <w:r>
        <w:rPr>
          <w:b/>
          <w:bCs/>
        </w:rPr>
        <w:t xml:space="preserve">Check the inbox, not the message:</w:t>
      </w:r>
      <w:r>
        <w:t xml:space="preserve">
</w:t>
      </w:r>
      <w:r>
        <w:rPr>
          <w:b/>
          <w:bCs/>
        </w:rPr>
        <w:t xml:space="preserve">Send now</w:t>
      </w:r>
      <w:r>
        <w:t xml:space="preserve"> confirms the report was requested. It is not confirmation that the
email was delivered. Look in a recipient's inbox before considering the
subscription proven.</w:t>
      </w:r>
    </w:p>
    <w:p>
      <w:pPr>
        <w:pStyle w:val="Heading2"/>
      </w:pPr>
      <w:r>
        <w:t xml:space="preserve">What arrives</w:t>
      </w:r>
    </w:p>
    <w:p>
      <w:pPr>
        <w:spacing w:after="160"/>
      </w:pPr>
      <w:r>
        <w:t xml:space="preserve">The email leads with the period it covers — tomorrow for a daily report, the
next 7 or 14 days for a weekly or every-two-weeks one — then a headline count of
</w:t>
      </w:r>
      <w:r>
        <w:rPr>
          <w:b/>
          <w:bCs/>
        </w:rPr>
        <w:t xml:space="preserve">expected bookings</w:t>
      </w:r>
      <w:r>
        <w:t xml:space="preserve">, with the change against the same number of days just
gone. Then:</w:t>
      </w:r>
    </w:p>
    <w:p>
      <w:pPr>
        <w:pStyle w:val="ListParagraph"/>
        <w:numPr>
          <w:ilvl w:val="0"/>
          <w:numId w:val="1"/>
        </w:numPr>
        <w:spacing w:after="80"/>
      </w:pPr>
      <w:r>
        <w:rPr>
          <w:b/>
          <w:bCs/>
        </w:rPr>
        <w:t xml:space="preserve">Expected bookings per day</w:t>
      </w:r>
      <w:r>
        <w:t xml:space="preserve">, with the </w:t>
      </w:r>
      <w:r>
        <w:rPr>
          <w:b/>
          <w:bCs/>
        </w:rPr>
        <w:t xml:space="preserve">busiest day</w:t>
      </w:r>
      <w:r>
        <w:t xml:space="preserve"> picked out</w:t>
      </w:r>
    </w:p>
    <w:p>
      <w:pPr>
        <w:pStyle w:val="ListParagraph"/>
        <w:numPr>
          <w:ilvl w:val="0"/>
          <w:numId w:val="1"/>
        </w:numPr>
        <w:spacing w:after="80"/>
      </w:pPr>
      <w:r>
        <w:rPr>
          <w:b/>
          <w:bCs/>
        </w:rPr>
        <w:t xml:space="preserve">Attendees</w:t>
      </w:r>
      <w:r>
        <w:t xml:space="preserve">, </w:t>
      </w:r>
      <w:r>
        <w:rPr>
          <w:b/>
          <w:bCs/>
        </w:rPr>
        <w:t xml:space="preserve">Organizers</w:t>
      </w:r>
      <w:r>
        <w:t xml:space="preserve"> and </w:t>
      </w:r>
      <w:r>
        <w:rPr>
          <w:b/>
          <w:bCs/>
        </w:rPr>
        <w:t xml:space="preserve">Resources</w:t>
      </w:r>
      <w:r>
        <w:t xml:space="preserve"> — how many in total, and how
many distinct people and rooms</w:t>
      </w:r>
    </w:p>
    <w:p>
      <w:pPr>
        <w:pStyle w:val="ListParagraph"/>
        <w:numPr>
          <w:ilvl w:val="0"/>
          <w:numId w:val="1"/>
        </w:numPr>
        <w:spacing w:after="80"/>
      </w:pPr>
      <w:r>
        <w:t xml:space="preserve">A status bar — </w:t>
      </w:r>
      <w:r>
        <w:rPr>
          <w:b/>
          <w:bCs/>
        </w:rPr>
        <w:t xml:space="preserve">Approved</w:t>
      </w:r>
      <w:r>
        <w:t xml:space="preserve"> against </w:t>
      </w:r>
      <w:r>
        <w:rPr>
          <w:b/>
          <w:bCs/>
        </w:rPr>
        <w:t xml:space="preserve">Awaiting approval</w:t>
      </w:r>
    </w:p>
    <w:p>
      <w:pPr>
        <w:pStyle w:val="ListParagraph"/>
        <w:numPr>
          <w:ilvl w:val="0"/>
          <w:numId w:val="1"/>
        </w:numPr>
        <w:spacing w:after="80"/>
      </w:pPr>
      <w:r>
        <w:rPr>
          <w:b/>
          <w:bCs/>
        </w:rPr>
        <w:t xml:space="preserve">Organizers booking the most</w:t>
      </w:r>
      <w:r>
        <w:t xml:space="preserve"> — the people with the most bookings in the
window</w:t>
      </w:r>
    </w:p>
    <w:p>
      <w:pPr>
        <w:pStyle w:val="ListParagraph"/>
        <w:numPr>
          <w:ilvl w:val="0"/>
          <w:numId w:val="1"/>
        </w:numPr>
        <w:spacing w:after="80"/>
      </w:pPr>
      <w:r>
        <w:rPr>
          <w:b/>
          <w:bCs/>
        </w:rPr>
        <w:t xml:space="preserve">Attached</w:t>
      </w:r>
      <w:r>
        <w:t xml:space="preserve"> — the two files that ride along</w:t>
      </w:r>
    </w:p>
    <w:p>
      <w:pPr>
        <w:spacing w:after="160"/>
      </w:pPr>
      <w:r>
        <w:rPr>
          <w:b/>
          <w:bCs/>
        </w:rPr>
        <w:t xml:space="preserve">View bookings</w:t>
      </w:r>
      <w:r>
        <w:t xml:space="preserve"> opens the admin booking calendar already on the same window.
Two files ride along: a one-page PDF of the summary above, named
</w:t>
      </w:r>
      <w:r>
        <w:rPr>
          <w:rFonts w:ascii="Consolas" w:cs="Consolas" w:eastAsia="Consolas" w:hAnsi="Consolas"/>
          <w:sz w:val="20"/>
          <w:szCs w:val="20"/>
          <w:shd w:fill="F5F5F7" w:val="clear"/>
        </w:rPr>
        <w:t xml:space="preserve">booking-forecast- _ .pdf</w:t>
      </w:r>
      <w:r>
        <w:t xml:space="preserve">, and the full list as a spreadsheet named
</w:t>
      </w:r>
      <w:r>
        <w:rPr>
          <w:rFonts w:ascii="Consolas" w:cs="Consolas" w:eastAsia="Consolas" w:hAnsi="Consolas"/>
          <w:sz w:val="20"/>
          <w:szCs w:val="20"/>
          <w:shd w:fill="F5F5F7" w:val="clear"/>
        </w:rPr>
        <w:t xml:space="preserve">bookings- .xlsx</w:t>
      </w:r>
      <w:r>
        <w:t xml:space="preserve">.</w:t>
      </w:r>
    </w:p>
    <w:p>
      <w:pPr>
        <w:spacing w:after="60" w:before="160"/>
        <w:jc w:val="center"/>
      </w:pPr>
      <w:r>
        <w:drawing>
          <wp:inline distT="0" distB="0" distL="0" distR="0">
            <wp:extent cx="3714750" cy="7429500"/>
            <wp:effectExtent t="0" r="0" b="0" l="0"/>
            <wp:docPr id="1" name="upcoming-booking-forecast-email" descr="A daily forecast: the day covered, the headline count, and the files attached." title="A daily forecast: the day covered, the headline count, and the files att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714750" cy="7429500"/>
                    </a:xfrm>
                    <a:prstGeom prst="rect">
                      <a:avLst/>
                    </a:prstGeom>
                  </pic:spPr>
                </pic:pic>
              </a:graphicData>
            </a:graphic>
          </wp:inline>
        </w:drawing>
      </w:r>
    </w:p>
    <w:p>
      <w:pPr>
        <w:spacing w:after="240"/>
        <w:jc w:val="center"/>
      </w:pPr>
      <w:r>
        <w:rPr>
          <w:i/>
          <w:iCs/>
          <w:color w:val="6E6E73"/>
          <w:sz w:val="18"/>
          <w:szCs w:val="18"/>
        </w:rPr>
        <w:t xml:space="preserve">A daily forecast: the day covered, the headline count, and the files attached.</w:t>
      </w:r>
    </w:p>
    <w:p>
      <w:pPr>
        <w:spacing w:after="160"/>
      </w:pPr>
      <w:r>
        <w:t xml:space="preserve">Two things about those files surprise people. They are named after </w:t>
      </w:r>
      <w:r>
        <w:rPr>
          <w:b/>
          <w:bCs/>
        </w:rPr>
        <w:t xml:space="preserve">the days
the report covers</w:t>
      </w:r>
      <w:r>
        <w:t xml:space="preserve">, not the day it was sent — a daily report sent on the 4th is
called </w:t>
      </w:r>
      <w:r>
        <w:rPr>
          <w:rFonts w:ascii="Consolas" w:cs="Consolas" w:eastAsia="Consolas" w:hAnsi="Consolas"/>
          <w:sz w:val="20"/>
          <w:szCs w:val="20"/>
          <w:shd w:fill="F5F5F7" w:val="clear"/>
        </w:rPr>
        <w:t xml:space="preserve">bookings-2026-08-05.xlsx</w:t>
      </w:r>
      <w:r>
        <w:t xml:space="preserve"> and </w:t>
      </w:r>
      <w:r>
        <w:rPr>
          <w:rFonts w:ascii="Consolas" w:cs="Consolas" w:eastAsia="Consolas" w:hAnsi="Consolas"/>
          <w:sz w:val="20"/>
          <w:szCs w:val="20"/>
          <w:shd w:fill="F5F5F7" w:val="clear"/>
        </w:rPr>
        <w:t xml:space="preserve">booking-forecast-2026-08-05_2026-08-05.pdf</w:t>
      </w:r>
      <w:r>
        <w:t xml:space="preserve">.
And the counts deliberately leave out cancelled bookings, preparation time and
sub-resources, so they are usually lower than a raw count of rows in the
calendar.</w:t>
      </w:r>
    </w:p>
    <w:p>
      <w:pPr>
        <w:spacing w:after="160"/>
      </w:pPr>
      <w:r>
        <w:t xml:space="preserve">The report also inherits your email branding — logo, colours and footer — from
the same settings every other Offision email uses. To change the wording, pick
the template type </w:t>
      </w:r>
      <w:r>
        <w:rPr>
          <w:b/>
          <w:bCs/>
        </w:rPr>
        <w:t xml:space="preserve">Upcoming booking forecast</w:t>
      </w:r>
      <w:r>
        <w:t xml:space="preserve"> in the email template editor.</w:t>
      </w:r>
    </w:p>
    <w:p>
      <w:pPr>
        <w:pStyle w:val="Heading2"/>
      </w:pPr>
      <w:r>
        <w:t xml:space="preserve">If the report does not arrive</w:t>
      </w:r>
    </w:p>
    <w:p>
      <w:pPr>
        <w:spacing w:after="160"/>
      </w:pPr>
      <w:r>
        <w:t xml:space="preserve">Work through these in order:</w:t>
      </w:r>
    </w:p>
    <w:p>
      <w:pPr>
        <w:pStyle w:val="ListParagraph"/>
        <w:numPr>
          <w:ilvl w:val="0"/>
          <w:numId w:val="2"/>
        </w:numPr>
        <w:spacing w:after="80"/>
      </w:pPr>
      <w:r>
        <w:rPr>
          <w:b/>
          <w:bCs/>
        </w:rPr>
        <w:t xml:space="preserve">The recipients are not booking managers.</w:t>
      </w:r>
      <w:r>
        <w:t xml:space="preserve"> The commonest cause by far.
Everyone named, directly or through a group, must hold Booking manager or
Global administrator; anyone else is dropped silently. If nobody on the
subscription qualifies, nothing is sent at all.</w:t>
      </w:r>
    </w:p>
    <w:p>
      <w:pPr>
        <w:pStyle w:val="ListParagraph"/>
        <w:numPr>
          <w:ilvl w:val="0"/>
          <w:numId w:val="2"/>
        </w:numPr>
        <w:spacing w:after="80"/>
      </w:pPr>
      <w:r>
        <w:rPr>
          <w:b/>
          <w:bCs/>
        </w:rPr>
        <w:t xml:space="preserve">The subscription is paused.</w:t>
      </w:r>
      <w:r>
        <w:t xml:space="preserve"> The list shows its status as </w:t>
      </w:r>
      <w:r>
        <w:rPr>
          <w:b/>
          <w:bCs/>
        </w:rPr>
        <w:t xml:space="preserve">Disabled</w:t>
      </w:r>
      <w:r>
        <w:t xml:space="preserve">.
Open it and choose the </w:t>
      </w:r>
      <w:r>
        <w:rPr>
          <w:b/>
          <w:bCs/>
        </w:rPr>
        <w:t xml:space="preserve">Paused</w:t>
      </w:r>
      <w:r>
        <w:t xml:space="preserve"> pill on the rail to start it again.</w:t>
      </w:r>
    </w:p>
    <w:p>
      <w:pPr>
        <w:pStyle w:val="ListParagraph"/>
        <w:numPr>
          <w:ilvl w:val="0"/>
          <w:numId w:val="2"/>
        </w:numPr>
        <w:spacing w:after="80"/>
      </w:pPr>
      <w:r>
        <w:rPr>
          <w:b/>
          <w:bCs/>
        </w:rPr>
        <w:t xml:space="preserve">The schedule can never come round.</w:t>
      </w:r>
      <w:r>
        <w:t xml:space="preserve"> A weekly subscription with no day of
week, or one whose hour has not occurred since you saved it, has simply not
fired yet. </w:t>
      </w:r>
      <w:r>
        <w:rPr>
          <w:b/>
          <w:bCs/>
        </w:rPr>
        <w:t xml:space="preserve">Send now</w:t>
      </w:r>
      <w:r>
        <w:t xml:space="preserve"> distinguishes the two: if that arrives and the
scheduled send never does, the schedule is the problem, not the recipients.</w:t>
      </w:r>
    </w:p>
    <w:p>
      <w:pPr>
        <w:pStyle w:val="ListParagraph"/>
        <w:numPr>
          <w:ilvl w:val="0"/>
          <w:numId w:val="2"/>
        </w:numPr>
        <w:spacing w:after="80"/>
      </w:pPr>
      <w:r>
        <w:rPr>
          <w:b/>
          <w:bCs/>
        </w:rPr>
        <w:t xml:space="preserve">Email sending is not set up.</w:t>
      </w:r>
      <w:r>
        <w:t xml:space="preserve"> If no Offision email reaches anyone, the
problem is the sender rather than this report.</w:t>
      </w:r>
    </w:p>
    <w:p>
      <w:pPr>
        <w:spacing w:after="160"/>
      </w:pPr>
      <w:r>
        <w:t xml:space="preserve">An empty report is not a failure. When nothing is booked in the window the
report still arrives, showing zeroes and carrying an empty spreadsheet — that is
the schedule working, and it is how you tell "nothing booked tomorrow" apart
from "the report stopped coming".</w:t>
      </w:r>
    </w:p>
    <w:p>
      <w:pPr>
        <w:spacing w:after="160"/>
      </w:pPr>
      <w:r>
        <w:rPr>
          <w:b/>
          <w:bCs/>
        </w:rPr>
        <w:t xml:space="preserve">Still need help:</w:t>
      </w:r>
      <w:r>
        <w:t xml:space="preserve">
Note the subscription's frequency and send time, which recipient mode it uses,
whether the people named hold Booking manager, and whether a </w:t>
      </w:r>
      <w:r>
        <w:rPr>
          <w:b/>
          <w:bCs/>
        </w:rPr>
        <w:t xml:space="preserve">Send now</w:t>
      </w:r>
      <w:r>
        <w:t xml:space="preserve"> test
arrived. Those four identify which cause applied.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1vpmtqlkjbns5h4e2ovqp" Type="http://schemas.openxmlformats.org/officeDocument/2006/relationships/hyperlink" Target="https://offision.com/help/en/booking/email-a-forecast-of-upcoming-bookings/" TargetMode="External"/><Relationship Id="rIdfs3-um3rhhalhoowlb71g" Type="http://schemas.openxmlformats.org/officeDocument/2006/relationships/hyperlink" Target="../email-a-summary-of-past-bookings/" TargetMode="External"/><Relationship Id="rId7" Type="http://schemas.openxmlformats.org/officeDocument/2006/relationships/image" Target="media/16bd075d6284f38bca166567c09cb902890f622a.png"/><Relationship Id="rId8" Type="http://schemas.openxmlformats.org/officeDocument/2006/relationships/image" Target="media/f9ee9bf79fe75d75bc9bd7cfc5d9cc8105cb251d.png"/><Relationship Id="rId9" Type="http://schemas.openxmlformats.org/officeDocument/2006/relationships/image" Target="media/1d0a4738dd7660ab07e685af96e213abdfe2fe5a.png"/><Relationship Id="rId10" Type="http://schemas.openxmlformats.org/officeDocument/2006/relationships/image" Target="media/7cc932ea04adfc58e36706e627fdf193b8affb0c.png"/><Relationship Id="rId11" Type="http://schemas.openxmlformats.org/officeDocument/2006/relationships/image" Target="media/2b04077cbee29c554db2e6d07e02e6375dbdc37e.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 your managers a forecast of upcoming bookings</dc:title>
  <dc:creator>Offision</dc:creator>
  <cp:lastModifiedBy>Un-named</cp:lastModifiedBy>
  <cp:revision>1</cp:revision>
  <dcterms:created xsi:type="dcterms:W3CDTF">2026-09-09T10:26:51.843Z</dcterms:created>
  <dcterms:modified xsi:type="dcterms:W3CDTF">2026-09-09T10:26:51.843Z</dcterms:modified>
</cp:coreProperties>
</file>

<file path=docProps/custom.xml><?xml version="1.0" encoding="utf-8"?>
<Properties xmlns="http://schemas.openxmlformats.org/officeDocument/2006/custom-properties" xmlns:vt="http://schemas.openxmlformats.org/officeDocument/2006/docPropsVTypes"/>
</file>