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Booking data set reference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data set is a reusable list of options that Autocomplete fields read from — a key, a display text, and an import. Every setting on the screen, and when to use one instead of a Select field.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lnunwfwxowbsp1ijmc3vq">
        <w:r>
          <w:rPr>
            <w:rStyle w:val="Hyperlink"/>
            <w:color w:val="6E6E73"/>
            <w:sz w:val="18"/>
            <w:szCs w:val="18"/>
          </w:rPr>
          <w:t xml:space="preserve">https://offision.com/help/en/booking/booking-data-set-reference/</w:t>
        </w:r>
      </w:hyperlink>
    </w:p>
    <w:p>
      <w:pPr>
        <w:spacing w:after="160"/>
      </w:pPr>
      <w:r>
        <w:t xml:space="preserve">A data set is a reusable list of options that </w:t>
      </w:r>
      <w:r>
        <w:rPr>
          <w:b/>
          <w:bCs/>
        </w:rPr>
        <w:t xml:space="preserve">Autocomplete</w:t>
      </w:r>
      <w:r>
        <w:t xml:space="preserve"> fields read from.
Define it once and every booking form can point at it — which is what separates
it from a </w:t>
      </w:r>
      <w:r>
        <w:rPr>
          <w:b/>
          <w:bCs/>
        </w:rPr>
        <w:t xml:space="preserve">Select</w:t>
      </w:r>
      <w:r>
        <w:t xml:space="preserve"> field, whose options live on the one field that declares
them.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booking/booking-auto-complete (Data set)</w:t>
      </w:r>
    </w:p>
    <w:p>
      <w:pPr>
        <w:spacing w:after="160"/>
      </w:pPr>
      <w:r>
        <w:t xml:space="preserve">Booking and Visiting keep separate data sets. A set built here is offered to
booking form fields only; the visiting form has a screen of its own.</w:t>
      </w:r>
    </w:p>
    <w:p>
      <w:pPr>
        <w:pStyle w:val="Heading2"/>
      </w:pPr>
      <w:r>
        <w:t xml:space="preserve">The data set itself</w:t>
      </w:r>
    </w:p>
    <w:p>
      <w:pPr>
        <w:spacing w:after="160"/>
      </w:pPr>
      <w:r>
        <w:t xml:space="preserve">The editor opens on </w:t>
      </w:r>
      <w:r>
        <w:rPr>
          <w:b/>
          <w:bCs/>
        </w:rPr>
        <w:t xml:space="preserve">Settings</w:t>
      </w:r>
      <w:r>
        <w:t xml:space="preserve">, and the entries live on the second page of its
rail.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24"/>
        <w:gridCol w:w="3816"/>
        <w:gridCol w:w="4320"/>
      </w:tblGrid>
      <w:tr>
        <w:trPr>
          <w:cantSplit/>
          <w:tblHeader/>
        </w:trPr>
        <w:tc>
          <w:tcPr>
            <w:tcW w:type="dxa" w:w="12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8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224"/>
          </w:tcPr>
          <w:p>
            <w:pPr>
              <w:spacing w:after="0"/>
            </w:pPr>
            <w:r>
              <w:t xml:space="preserve">Name</w:t>
            </w:r>
          </w:p>
        </w:tc>
        <w:tc>
          <w:tcPr>
            <w:tcW w:type="dxa" w:w="3816"/>
          </w:tcPr>
          <w:p>
            <w:pPr>
              <w:spacing w:after="0"/>
            </w:pPr>
            <w:r>
              <w:t xml:space="preserve">Names the data set in the picker on a field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Name it after what it holds — this is all somebody configuring a field sees</w:t>
            </w:r>
          </w:p>
        </w:tc>
      </w:tr>
      <w:tr>
        <w:trPr>
          <w:cantSplit/>
        </w:trPr>
        <w:tc>
          <w:tcPr>
            <w:tcW w:type="dxa" w:w="1224"/>
          </w:tcPr>
          <w:p>
            <w:pPr>
              <w:spacing w:after="0"/>
            </w:pPr>
            <w:r>
              <w:t xml:space="preserve">Branch management</w:t>
            </w:r>
          </w:p>
        </w:tc>
        <w:tc>
          <w:tcPr>
            <w:tcW w:type="dxa" w:w="3816"/>
          </w:tcPr>
          <w:p>
            <w:pPr>
              <w:spacing w:after="0"/>
            </w:pPr>
            <w:r>
              <w:t xml:space="preserve">Limits the data set to one branch of the organisation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Only on a multi-branch site where each branch keeps its own lists</w:t>
            </w:r>
          </w:p>
        </w:tc>
      </w:tr>
      <w:tr>
        <w:trPr>
          <w:cantSplit/>
        </w:trPr>
        <w:tc>
          <w:tcPr>
            <w:tcW w:type="dxa" w:w="1224"/>
          </w:tcPr>
          <w:p>
            <w:pPr>
              <w:spacing w:after="0"/>
            </w:pPr>
            <w:r>
              <w:t xml:space="preserve">Entries</w:t>
            </w:r>
          </w:p>
        </w:tc>
        <w:tc>
          <w:tcPr>
            <w:tcW w:type="dxa" w:w="3816"/>
          </w:tcPr>
          <w:p>
            <w:pPr>
              <w:spacing w:after="0"/>
            </w:pPr>
            <w:r>
              <w:t xml:space="preserve">The rows themselves, on the second page of the rail</w:t>
            </w:r>
          </w:p>
        </w:tc>
        <w:tc>
          <w:tcPr>
            <w:tcW w:type="dxa" w:w="4320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2"/>
      </w:pPr>
      <w:r>
        <w:t xml:space="preserve">An entry is a pair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120"/>
        <w:gridCol w:w="520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5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Key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code stored alongside the answer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Set it to whatever your other system reconciles on. Renaming the display text later then leaves past bookings intact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Display text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What the person booking reads</w:t>
            </w:r>
          </w:p>
        </w:tc>
        <w:tc>
          <w:tcPr>
            <w:tcW w:type="dxa" w:w="5200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spacing w:after="160"/>
      </w:pPr>
      <w:r>
        <w:t xml:space="preserve">Both matter, and for different reasons. The key is what gets written next to the
booking, so it is the half your finance or facilities system will match on; the
display text is the half a person recognises. Give the display text in </w:t>
      </w:r>
      <w:r>
        <w:rPr>
          <w:b/>
          <w:bCs/>
        </w:rPr>
        <w:t xml:space="preserve">every</w:t>
      </w:r>
      <w:r>
        <w:t xml:space="preserve">
language your site uses — one given only in English renders in English on a
Japanese screen.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An entry may be saved with no key. It then shows as </w:t>
      </w:r>
      <w:r>
        <w:rPr>
          <w:b/>
          <w:bCs/>
        </w:rPr>
        <w:t xml:space="preserve">(No key)</w:t>
      </w:r>
      <w:r>
        <w:t xml:space="preserve"> in the list, and
the booking stores only the display text — which is fine for a list nothing else
reconciles against, and a problem for one that does.</w:t>
      </w:r>
    </w:p>
    <w:p>
      <w:pPr>
        <w:pStyle w:val="Heading2"/>
      </w:pPr>
      <w:r>
        <w:t xml:space="preserve">Import and export</w:t>
      </w:r>
    </w:p>
    <w:p>
      <w:pPr>
        <w:spacing w:after="160"/>
      </w:pPr>
      <w:r>
        <w:t xml:space="preserve">The entries page carries </w:t>
      </w:r>
      <w:r>
        <w:rPr>
          <w:b/>
          <w:bCs/>
        </w:rPr>
        <w:t xml:space="preserve">Import</w:t>
      </w:r>
      <w:r>
        <w:t xml:space="preserve"> and </w:t>
      </w:r>
      <w:r>
        <w:rPr>
          <w:b/>
          <w:bCs/>
        </w:rPr>
        <w:t xml:space="preserve">Export</w:t>
      </w:r>
      <w:r>
        <w:t xml:space="preserve"> buttons, and an empty data set
offers </w:t>
      </w:r>
      <w:r>
        <w:rPr>
          <w:b/>
          <w:bCs/>
        </w:rPr>
        <w:t xml:space="preserve">Import from Excel</w:t>
      </w:r>
      <w:r>
        <w:t xml:space="preserve"> directly.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046"/>
        <w:gridCol w:w="5538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0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55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Import</w:t>
            </w:r>
          </w:p>
        </w:tc>
        <w:tc>
          <w:tcPr>
            <w:tcW w:type="dxa" w:w="3046"/>
          </w:tcPr>
          <w:p>
            <w:pPr>
              <w:spacing w:after="0"/>
            </w:pPr>
            <w:r>
              <w:t xml:space="preserve">Loads the rows from a spreadsheet</w:t>
            </w:r>
          </w:p>
        </w:tc>
        <w:tc>
          <w:tcPr>
            <w:tcW w:type="dxa" w:w="5538"/>
          </w:tcPr>
          <w:p>
            <w:pPr>
              <w:spacing w:after="0"/>
            </w:pPr>
            <w:r>
              <w:t xml:space="preserve">For any real list — a chart of accounts is not worth typing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Export</w:t>
            </w:r>
          </w:p>
        </w:tc>
        <w:tc>
          <w:tcPr>
            <w:tcW w:type="dxa" w:w="3046"/>
          </w:tcPr>
          <w:p>
            <w:pPr>
              <w:spacing w:after="0"/>
            </w:pPr>
            <w:r>
              <w:t xml:space="preserve">Writes the rows back out</w:t>
            </w:r>
          </w:p>
        </w:tc>
        <w:tc>
          <w:tcPr>
            <w:tcW w:type="dxa" w:w="5538"/>
          </w:tcPr>
          <w:p>
            <w:pPr>
              <w:spacing w:after="0"/>
            </w:pPr>
            <w:r>
              <w:t xml:space="preserve">Take one before a bulk change, so a bad import can be undone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Add row</w:t>
            </w:r>
          </w:p>
        </w:tc>
        <w:tc>
          <w:tcPr>
            <w:tcW w:type="dxa" w:w="3046"/>
          </w:tcPr>
          <w:p>
            <w:pPr>
              <w:spacing w:after="0"/>
            </w:pPr>
            <w:r>
              <w:t xml:space="preserve">Adds one entry by hand</w:t>
            </w:r>
          </w:p>
        </w:tc>
        <w:tc>
          <w:tcPr>
            <w:tcW w:type="dxa" w:w="5538"/>
          </w:tcPr>
          <w:p>
            <w:pPr>
              <w:spacing w:after="0"/>
            </w:pPr>
            <w:r>
              <w:t xml:space="preserve">For a correction, not for the initial load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24375"/>
            <wp:effectExtent t="0" r="0" b="0" l="0"/>
            <wp:docPr id="1" name="booking-data-set-entries" descr="The entries, with Import and Export above them." title="The entries, with Import and Export above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entries, with Import and Export above them.</w:t>
      </w:r>
    </w:p>
    <w:p>
      <w:pPr>
        <w:pStyle w:val="Heading2"/>
      </w:pPr>
      <w:r>
        <w:t xml:space="preserve">What people see</w:t>
      </w:r>
    </w:p>
    <w:p>
      <w:pPr>
        <w:spacing w:after="160"/>
      </w:pPr>
      <w:r>
        <w:t xml:space="preserve">A field of type </w:t>
      </w:r>
      <w:r>
        <w:rPr>
          <w:b/>
          <w:bCs/>
        </w:rPr>
        <w:t xml:space="preserve">Autocomplete</w:t>
      </w:r>
      <w:r>
        <w:t xml:space="preserve"> names one data set, and the person booking
searches it as they type rather than scrolling a list. That is the whole reason
to prefer a data set over a </w:t>
      </w:r>
      <w:r>
        <w:rPr>
          <w:b/>
          <w:bCs/>
        </w:rPr>
        <w:t xml:space="preserve">Select</w:t>
      </w:r>
      <w:r>
        <w:t xml:space="preserve"> field once the list is long, shared
between forms, or maintained by somebody other than you.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57550"/>
            <wp:effectExtent t="0" r="0" b="0" l="0"/>
            <wp:docPr id="1" name="booking-data-set-result" descr="The same set on the booking form, searched as the person types." title="The same set on the booking form, searched as the person typ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set on the booking form, searched as the person types.</w:t>
      </w:r>
    </w:p>
    <w:p>
      <w:pPr>
        <w:spacing w:after="160"/>
      </w:pPr>
      <w:r>
        <w:t xml:space="preserve">Pointing a field at a data set is done on the field, not here — see
</w:t>
      </w:r>
      <w:hyperlink w:history="1" r:id="rIdvs9pm9owkagwkodxslt17">
        <w:r>
          <w:rPr>
            <w:rStyle w:val="Hyperlink"/>
          </w:rPr>
          <w:t xml:space="preserve">Fields you add yourself</w:t>
        </w:r>
      </w:hyperlink>
      <w:r>
        <w:t xml:space="preserve">, and
</w:t>
      </w:r>
      <w:hyperlink w:history="1" r:id="rIdjzzq1jgfr48bzozdgatwp">
        <w:r>
          <w:rPr>
            <w:rStyle w:val="Hyperlink"/>
          </w:rPr>
          <w:t xml:space="preserve">Ask for a cost item and project ID on every booking</w:t>
        </w:r>
      </w:hyperlink>
      <w:r>
        <w:t xml:space="preserve">
for the whole job end to end.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fields use it.</w:t>
      </w:r>
      <w:r>
        <w:t xml:space="preserve"> A data set is offered to every booking form; the
fields that read it are the ones you point at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the answer is required.</w:t>
      </w:r>
      <w:r>
        <w:t xml:space="preserve"> That is </w:t>
      </w:r>
      <w:r>
        <w:rPr>
          <w:b/>
          <w:bCs/>
        </w:rPr>
        <w:t xml:space="preserve">Required</w:t>
      </w:r>
      <w:r>
        <w:t xml:space="preserve">, on the field.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can read the answer.</w:t>
      </w:r>
      <w:r>
        <w:t xml:space="preserve"> The field's own </w:t>
      </w:r>
      <w:r>
        <w:rPr>
          <w:b/>
          <w:bCs/>
        </w:rPr>
        <w:t xml:space="preserve">Show</w:t>
      </w:r>
      <w:r>
        <w:t xml:space="preserve"> switches decide that.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Visiting's data sets.</w:t>
      </w:r>
      <w:r>
        <w:t xml:space="preserve"> A separate screen, and the two never share entries.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nunwfwxowbsp1ijmc3vq" Type="http://schemas.openxmlformats.org/officeDocument/2006/relationships/hyperlink" Target="https://offision.com/help/en/booking/booking-data-set-reference/" TargetMode="External"/><Relationship Id="rIdvs9pm9owkagwkodxslt17" Type="http://schemas.openxmlformats.org/officeDocument/2006/relationships/hyperlink" Target="/en/booking/booking-form-reference/" TargetMode="External"/><Relationship Id="rIdjzzq1jgfr48bzozdgatwp" Type="http://schemas.openxmlformats.org/officeDocument/2006/relationships/hyperlink" Target="/en/booking/ask-for-a-cost-item-on-every-booking/" TargetMode="External"/><Relationship Id="rId7" Type="http://schemas.openxmlformats.org/officeDocument/2006/relationships/image" Target="media/478f02f4cf51da2273f81b6ac898d4b784c14d5b.png"/><Relationship Id="rId8" Type="http://schemas.openxmlformats.org/officeDocument/2006/relationships/image" Target="media/60433dfa1f766f3c7c17002be6c4c998c6b0824b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Booking data set reference</dc:title>
  <dc:creator>Offision</dc:creator>
  <cp:lastModifiedBy>Un-named</cp:lastModifiedBy>
  <cp:revision>1</cp:revision>
  <dcterms:created xsi:type="dcterms:W3CDTF">2026-09-13T08:28:55.082Z</dcterms:created>
  <dcterms:modified xsi:type="dcterms:W3CDTF">2026-09-13T08:28:55.082Z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